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007D1" w14:textId="77777777" w:rsidR="004E7D69" w:rsidRDefault="004E7D69">
      <w:pPr>
        <w:rPr>
          <w:rFonts w:ascii="Times New Roman" w:eastAsia="Times New Roman" w:hAnsi="Times New Roman" w:cs="Times New Roman"/>
          <w:b/>
          <w:sz w:val="21"/>
          <w:szCs w:val="21"/>
        </w:rPr>
      </w:pPr>
    </w:p>
    <w:tbl>
      <w:tblPr>
        <w:tblStyle w:val="a"/>
        <w:tblW w:w="1624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025"/>
        <w:gridCol w:w="1875"/>
        <w:gridCol w:w="3420"/>
        <w:gridCol w:w="3405"/>
        <w:gridCol w:w="3180"/>
      </w:tblGrid>
      <w:tr w:rsidR="004E7D69" w14:paraId="52089BC8" w14:textId="77777777">
        <w:tc>
          <w:tcPr>
            <w:tcW w:w="2340" w:type="dxa"/>
            <w:shd w:val="clear" w:color="auto" w:fill="A4C2F4"/>
            <w:tcMar>
              <w:top w:w="100" w:type="dxa"/>
              <w:left w:w="100" w:type="dxa"/>
              <w:bottom w:w="100" w:type="dxa"/>
              <w:right w:w="100" w:type="dxa"/>
            </w:tcMar>
          </w:tcPr>
          <w:p w14:paraId="7DE8CCF1"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2025" w:type="dxa"/>
            <w:shd w:val="clear" w:color="auto" w:fill="A4C2F4"/>
            <w:tcMar>
              <w:top w:w="100" w:type="dxa"/>
              <w:left w:w="100" w:type="dxa"/>
              <w:bottom w:w="100" w:type="dxa"/>
              <w:right w:w="100" w:type="dxa"/>
            </w:tcMar>
          </w:tcPr>
          <w:p w14:paraId="670B28AB"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875" w:type="dxa"/>
            <w:shd w:val="clear" w:color="auto" w:fill="A4C2F4"/>
            <w:tcMar>
              <w:top w:w="100" w:type="dxa"/>
              <w:left w:w="100" w:type="dxa"/>
              <w:bottom w:w="100" w:type="dxa"/>
              <w:right w:w="100" w:type="dxa"/>
            </w:tcMar>
          </w:tcPr>
          <w:p w14:paraId="32241059"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420" w:type="dxa"/>
            <w:shd w:val="clear" w:color="auto" w:fill="A4C2F4"/>
            <w:tcMar>
              <w:top w:w="100" w:type="dxa"/>
              <w:left w:w="100" w:type="dxa"/>
              <w:bottom w:w="100" w:type="dxa"/>
              <w:right w:w="100" w:type="dxa"/>
            </w:tcMar>
          </w:tcPr>
          <w:p w14:paraId="2C93F336"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Assessment/comments on level of implementation </w:t>
            </w:r>
          </w:p>
        </w:tc>
        <w:tc>
          <w:tcPr>
            <w:tcW w:w="3405" w:type="dxa"/>
            <w:shd w:val="clear" w:color="auto" w:fill="A4C2F4"/>
            <w:tcMar>
              <w:top w:w="100" w:type="dxa"/>
              <w:left w:w="100" w:type="dxa"/>
              <w:bottom w:w="100" w:type="dxa"/>
              <w:right w:w="100" w:type="dxa"/>
            </w:tcMar>
          </w:tcPr>
          <w:p w14:paraId="42E62008"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2018 Mid-Term Report  </w:t>
            </w:r>
          </w:p>
        </w:tc>
        <w:tc>
          <w:tcPr>
            <w:tcW w:w="3180" w:type="dxa"/>
            <w:shd w:val="clear" w:color="auto" w:fill="A4C2F4"/>
            <w:tcMar>
              <w:top w:w="100" w:type="dxa"/>
              <w:left w:w="100" w:type="dxa"/>
              <w:bottom w:w="100" w:type="dxa"/>
              <w:right w:w="100" w:type="dxa"/>
            </w:tcMar>
          </w:tcPr>
          <w:p w14:paraId="11679C57" w14:textId="77777777" w:rsidR="004E7D69" w:rsidRDefault="00AA4EE0">
            <w:pPr>
              <w:widowControl w:val="0"/>
              <w:spacing w:line="240" w:lineRule="auto"/>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Recommendation for Third Cycle </w:t>
            </w:r>
          </w:p>
          <w:p w14:paraId="4EE56961"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4040F1D2" w14:textId="77777777">
        <w:trPr>
          <w:trHeight w:val="420"/>
        </w:trPr>
        <w:tc>
          <w:tcPr>
            <w:tcW w:w="16245" w:type="dxa"/>
            <w:gridSpan w:val="6"/>
            <w:shd w:val="clear" w:color="auto" w:fill="D9E7FF"/>
            <w:tcMar>
              <w:top w:w="100" w:type="dxa"/>
              <w:left w:w="100" w:type="dxa"/>
              <w:bottom w:w="100" w:type="dxa"/>
              <w:right w:w="100" w:type="dxa"/>
            </w:tcMar>
          </w:tcPr>
          <w:p w14:paraId="2F4D36ED"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A41 Constitutional and legislative framework</w:t>
            </w:r>
          </w:p>
        </w:tc>
      </w:tr>
      <w:tr w:rsidR="004E7D69" w14:paraId="7E436FA0" w14:textId="77777777">
        <w:trPr>
          <w:trHeight w:val="447"/>
        </w:trPr>
        <w:tc>
          <w:tcPr>
            <w:tcW w:w="2340" w:type="dxa"/>
            <w:shd w:val="clear" w:color="auto" w:fill="auto"/>
            <w:tcMar>
              <w:top w:w="100" w:type="dxa"/>
              <w:left w:w="100" w:type="dxa"/>
              <w:bottom w:w="100" w:type="dxa"/>
              <w:right w:w="100" w:type="dxa"/>
            </w:tcMar>
          </w:tcPr>
          <w:p w14:paraId="1689E952"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166.59 Further implement international human rights norms into the national legislation (Uzbekistan);</w:t>
            </w:r>
          </w:p>
          <w:p w14:paraId="43C8B512"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w:t>
            </w:r>
          </w:p>
          <w:p w14:paraId="05D75BEB" w14:textId="77777777" w:rsidR="004E7D69" w:rsidRDefault="004E7D69">
            <w:pPr>
              <w:widowControl w:val="0"/>
              <w:spacing w:line="240" w:lineRule="auto"/>
              <w:rPr>
                <w:rFonts w:ascii="Times New Roman" w:eastAsia="Times New Roman" w:hAnsi="Times New Roman" w:cs="Times New Roman"/>
                <w:sz w:val="21"/>
                <w:szCs w:val="21"/>
              </w:rPr>
            </w:pPr>
          </w:p>
        </w:tc>
        <w:tc>
          <w:tcPr>
            <w:tcW w:w="2025" w:type="dxa"/>
            <w:shd w:val="clear" w:color="auto" w:fill="auto"/>
            <w:tcMar>
              <w:top w:w="100" w:type="dxa"/>
              <w:left w:w="100" w:type="dxa"/>
              <w:bottom w:w="100" w:type="dxa"/>
              <w:right w:w="100" w:type="dxa"/>
            </w:tcMar>
          </w:tcPr>
          <w:p w14:paraId="31EDFAD2"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A41 Constitutional and legislative framework</w:t>
            </w:r>
          </w:p>
          <w:p w14:paraId="11BC29D3"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7A9D4DD4"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general</w:t>
            </w:r>
          </w:p>
        </w:tc>
        <w:tc>
          <w:tcPr>
            <w:tcW w:w="1875" w:type="dxa"/>
            <w:shd w:val="clear" w:color="auto" w:fill="auto"/>
          </w:tcPr>
          <w:p w14:paraId="7FBFB779"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Supported </w:t>
            </w:r>
          </w:p>
        </w:tc>
        <w:tc>
          <w:tcPr>
            <w:tcW w:w="3420" w:type="dxa"/>
            <w:shd w:val="clear" w:color="auto" w:fill="auto"/>
            <w:tcMar>
              <w:top w:w="100" w:type="dxa"/>
              <w:left w:w="100" w:type="dxa"/>
              <w:bottom w:w="100" w:type="dxa"/>
              <w:right w:w="100" w:type="dxa"/>
            </w:tcMar>
          </w:tcPr>
          <w:p w14:paraId="78EE87BA" w14:textId="77777777" w:rsidR="004E7D69" w:rsidRDefault="00AA4EE0">
            <w:pPr>
              <w:numPr>
                <w:ilvl w:val="0"/>
                <w:numId w:val="21"/>
              </w:numPr>
              <w:rPr>
                <w:rFonts w:ascii="Times New Roman" w:eastAsia="Times New Roman" w:hAnsi="Times New Roman" w:cs="Times New Roman"/>
                <w:sz w:val="21"/>
                <w:szCs w:val="21"/>
              </w:rPr>
            </w:pPr>
            <w:r>
              <w:rPr>
                <w:rFonts w:ascii="Times New Roman" w:eastAsia="Times New Roman" w:hAnsi="Times New Roman" w:cs="Times New Roman"/>
                <w:sz w:val="21"/>
                <w:szCs w:val="21"/>
              </w:rPr>
              <w:t>While Singapore has ratified several key human rights treaties such as CEDAW, CRC, CRPD and ICERD, it has entered reservations to significant articles of CEDAW and ICERD.</w:t>
            </w:r>
            <w:r>
              <w:rPr>
                <w:rFonts w:ascii="Times New Roman" w:eastAsia="Times New Roman" w:hAnsi="Times New Roman" w:cs="Times New Roman"/>
                <w:sz w:val="21"/>
                <w:szCs w:val="21"/>
                <w:vertAlign w:val="superscript"/>
              </w:rPr>
              <w:t xml:space="preserve"> </w:t>
            </w:r>
            <w:r>
              <w:rPr>
                <w:rFonts w:ascii="Times New Roman" w:eastAsia="Times New Roman" w:hAnsi="Times New Roman" w:cs="Times New Roman"/>
                <w:sz w:val="21"/>
                <w:szCs w:val="21"/>
                <w:vertAlign w:val="superscript"/>
              </w:rPr>
              <w:footnoteReference w:id="1"/>
            </w:r>
          </w:p>
          <w:p w14:paraId="71D9E4A0" w14:textId="77777777" w:rsidR="004E7D69" w:rsidRDefault="004E7D69">
            <w:pPr>
              <w:ind w:left="720"/>
              <w:rPr>
                <w:rFonts w:ascii="Times New Roman" w:eastAsia="Times New Roman" w:hAnsi="Times New Roman" w:cs="Times New Roman"/>
                <w:sz w:val="21"/>
                <w:szCs w:val="21"/>
                <w:vertAlign w:val="superscript"/>
              </w:rPr>
            </w:pPr>
          </w:p>
          <w:p w14:paraId="4F24CA48" w14:textId="77777777" w:rsidR="004E7D69" w:rsidRDefault="00AA4EE0">
            <w:pPr>
              <w:numPr>
                <w:ilvl w:val="0"/>
                <w:numId w:val="21"/>
              </w:numPr>
              <w:rPr>
                <w:rFonts w:ascii="Times New Roman" w:eastAsia="Times New Roman" w:hAnsi="Times New Roman" w:cs="Times New Roman"/>
                <w:sz w:val="21"/>
                <w:szCs w:val="21"/>
              </w:rPr>
            </w:pPr>
            <w:r>
              <w:rPr>
                <w:rFonts w:ascii="Times New Roman" w:eastAsia="Times New Roman" w:hAnsi="Times New Roman" w:cs="Times New Roman"/>
                <w:sz w:val="21"/>
                <w:szCs w:val="21"/>
              </w:rPr>
              <w:t>Singapore has also not acceded to many other human rights conventions</w:t>
            </w:r>
            <w:r>
              <w:rPr>
                <w:rFonts w:ascii="Times New Roman" w:eastAsia="Times New Roman" w:hAnsi="Times New Roman" w:cs="Times New Roman"/>
                <w:sz w:val="21"/>
                <w:szCs w:val="21"/>
                <w:vertAlign w:val="superscript"/>
              </w:rPr>
              <w:footnoteReference w:id="2"/>
            </w:r>
            <w:r>
              <w:rPr>
                <w:rFonts w:ascii="Times New Roman" w:eastAsia="Times New Roman" w:hAnsi="Times New Roman" w:cs="Times New Roman"/>
                <w:sz w:val="21"/>
                <w:szCs w:val="21"/>
              </w:rPr>
              <w:t>.</w:t>
            </w:r>
          </w:p>
        </w:tc>
        <w:tc>
          <w:tcPr>
            <w:tcW w:w="3405" w:type="dxa"/>
            <w:shd w:val="clear" w:color="auto" w:fill="auto"/>
            <w:tcMar>
              <w:top w:w="100" w:type="dxa"/>
              <w:left w:w="100" w:type="dxa"/>
              <w:bottom w:w="100" w:type="dxa"/>
              <w:right w:w="100" w:type="dxa"/>
            </w:tcMar>
          </w:tcPr>
          <w:p w14:paraId="5171053F" w14:textId="77777777" w:rsidR="004E7D69" w:rsidRDefault="00AA4EE0">
            <w:pPr>
              <w:numPr>
                <w:ilvl w:val="0"/>
                <w:numId w:val="18"/>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Remaining reservations to Articles 2 and 16 of CEDAW should be removed, in order to more incisively bridge the divide between Civil and Sharia law  </w:t>
            </w:r>
          </w:p>
        </w:tc>
        <w:tc>
          <w:tcPr>
            <w:tcW w:w="3180" w:type="dxa"/>
            <w:shd w:val="clear" w:color="auto" w:fill="auto"/>
            <w:tcMar>
              <w:top w:w="100" w:type="dxa"/>
              <w:left w:w="100" w:type="dxa"/>
              <w:bottom w:w="100" w:type="dxa"/>
              <w:right w:w="100" w:type="dxa"/>
            </w:tcMar>
          </w:tcPr>
          <w:p w14:paraId="77E31A99" w14:textId="77777777" w:rsidR="004E7D69" w:rsidRDefault="00AA4EE0">
            <w:pPr>
              <w:numPr>
                <w:ilvl w:val="0"/>
                <w:numId w:val="18"/>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Much more effort needs to undertaken by the government to </w:t>
            </w:r>
            <w:r>
              <w:rPr>
                <w:rFonts w:ascii="Times New Roman" w:eastAsia="Times New Roman" w:hAnsi="Times New Roman" w:cs="Times New Roman"/>
                <w:color w:val="FF0000"/>
                <w:sz w:val="21"/>
                <w:szCs w:val="21"/>
              </w:rPr>
              <w:t>institutionalise obligations to respect and prote</w:t>
            </w:r>
            <w:r>
              <w:rPr>
                <w:rFonts w:ascii="Times New Roman" w:eastAsia="Times New Roman" w:hAnsi="Times New Roman" w:cs="Times New Roman"/>
                <w:color w:val="FF0000"/>
                <w:sz w:val="21"/>
                <w:szCs w:val="21"/>
              </w:rPr>
              <w:t xml:space="preserve">ct human rights, while refraining from actions that hinder their protection. </w:t>
            </w:r>
          </w:p>
          <w:p w14:paraId="5E80622E" w14:textId="77777777" w:rsidR="004E7D69" w:rsidRDefault="004E7D69">
            <w:pPr>
              <w:widowControl w:val="0"/>
              <w:spacing w:line="240" w:lineRule="auto"/>
              <w:rPr>
                <w:rFonts w:ascii="Times New Roman" w:eastAsia="Times New Roman" w:hAnsi="Times New Roman" w:cs="Times New Roman"/>
                <w:sz w:val="21"/>
                <w:szCs w:val="21"/>
              </w:rPr>
            </w:pPr>
          </w:p>
        </w:tc>
      </w:tr>
    </w:tbl>
    <w:p w14:paraId="7C1E430F" w14:textId="77777777" w:rsidR="004E7D69" w:rsidRDefault="004E7D69">
      <w:pPr>
        <w:rPr>
          <w:rFonts w:ascii="Times New Roman" w:eastAsia="Times New Roman" w:hAnsi="Times New Roman" w:cs="Times New Roman"/>
          <w:sz w:val="21"/>
          <w:szCs w:val="21"/>
        </w:rPr>
      </w:pPr>
    </w:p>
    <w:p w14:paraId="2FFF930E" w14:textId="77777777" w:rsidR="004E7D69" w:rsidRDefault="004E7D69">
      <w:pPr>
        <w:rPr>
          <w:rFonts w:ascii="Times New Roman" w:eastAsia="Times New Roman" w:hAnsi="Times New Roman" w:cs="Times New Roman"/>
          <w:sz w:val="21"/>
          <w:szCs w:val="21"/>
        </w:rPr>
      </w:pPr>
    </w:p>
    <w:p w14:paraId="7AB95C9E" w14:textId="77777777" w:rsidR="004E7D69" w:rsidRDefault="004E7D69">
      <w:pPr>
        <w:rPr>
          <w:rFonts w:ascii="Times New Roman" w:eastAsia="Times New Roman" w:hAnsi="Times New Roman" w:cs="Times New Roman"/>
          <w:sz w:val="21"/>
          <w:szCs w:val="21"/>
        </w:rPr>
      </w:pPr>
    </w:p>
    <w:p w14:paraId="3423261D" w14:textId="77777777" w:rsidR="004E7D69" w:rsidRDefault="004E7D69">
      <w:pPr>
        <w:rPr>
          <w:rFonts w:ascii="Times New Roman" w:eastAsia="Times New Roman" w:hAnsi="Times New Roman" w:cs="Times New Roman"/>
          <w:sz w:val="21"/>
          <w:szCs w:val="21"/>
        </w:rPr>
      </w:pPr>
    </w:p>
    <w:p w14:paraId="437A052B" w14:textId="77777777" w:rsidR="004E7D69" w:rsidRDefault="004E7D69">
      <w:pPr>
        <w:rPr>
          <w:rFonts w:ascii="Times New Roman" w:eastAsia="Times New Roman" w:hAnsi="Times New Roman" w:cs="Times New Roman"/>
          <w:sz w:val="21"/>
          <w:szCs w:val="21"/>
        </w:rPr>
      </w:pPr>
    </w:p>
    <w:tbl>
      <w:tblPr>
        <w:tblStyle w:val="a0"/>
        <w:tblW w:w="1627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205"/>
        <w:gridCol w:w="1965"/>
        <w:gridCol w:w="3300"/>
        <w:gridCol w:w="3345"/>
        <w:gridCol w:w="3285"/>
      </w:tblGrid>
      <w:tr w:rsidR="004E7D69" w14:paraId="33FCA1FA" w14:textId="77777777">
        <w:tc>
          <w:tcPr>
            <w:tcW w:w="2175" w:type="dxa"/>
            <w:shd w:val="clear" w:color="auto" w:fill="A4C2F4"/>
            <w:tcMar>
              <w:top w:w="100" w:type="dxa"/>
              <w:left w:w="100" w:type="dxa"/>
              <w:bottom w:w="100" w:type="dxa"/>
              <w:right w:w="100" w:type="dxa"/>
            </w:tcMar>
          </w:tcPr>
          <w:p w14:paraId="3B252C45"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 xml:space="preserve">Recommendation from Second Cycle </w:t>
            </w:r>
          </w:p>
        </w:tc>
        <w:tc>
          <w:tcPr>
            <w:tcW w:w="2205" w:type="dxa"/>
            <w:shd w:val="clear" w:color="auto" w:fill="A4C2F4"/>
            <w:tcMar>
              <w:top w:w="100" w:type="dxa"/>
              <w:left w:w="100" w:type="dxa"/>
              <w:bottom w:w="100" w:type="dxa"/>
              <w:right w:w="100" w:type="dxa"/>
            </w:tcMar>
          </w:tcPr>
          <w:p w14:paraId="1C203141"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965" w:type="dxa"/>
            <w:shd w:val="clear" w:color="auto" w:fill="A4C2F4"/>
            <w:tcMar>
              <w:top w:w="100" w:type="dxa"/>
              <w:left w:w="100" w:type="dxa"/>
              <w:bottom w:w="100" w:type="dxa"/>
              <w:right w:w="100" w:type="dxa"/>
            </w:tcMar>
          </w:tcPr>
          <w:p w14:paraId="1A0E4A74"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300" w:type="dxa"/>
            <w:shd w:val="clear" w:color="auto" w:fill="A4C2F4"/>
            <w:tcMar>
              <w:top w:w="100" w:type="dxa"/>
              <w:left w:w="100" w:type="dxa"/>
              <w:bottom w:w="100" w:type="dxa"/>
              <w:right w:w="100" w:type="dxa"/>
            </w:tcMar>
          </w:tcPr>
          <w:p w14:paraId="314B14B1"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345" w:type="dxa"/>
            <w:shd w:val="clear" w:color="auto" w:fill="A4C2F4"/>
            <w:tcMar>
              <w:top w:w="100" w:type="dxa"/>
              <w:left w:w="100" w:type="dxa"/>
              <w:bottom w:w="100" w:type="dxa"/>
              <w:right w:w="100" w:type="dxa"/>
            </w:tcMar>
          </w:tcPr>
          <w:p w14:paraId="286587E5"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tc>
        <w:tc>
          <w:tcPr>
            <w:tcW w:w="3285" w:type="dxa"/>
            <w:shd w:val="clear" w:color="auto" w:fill="A4C2F4"/>
            <w:tcMar>
              <w:top w:w="100" w:type="dxa"/>
              <w:left w:w="100" w:type="dxa"/>
              <w:bottom w:w="100" w:type="dxa"/>
              <w:right w:w="100" w:type="dxa"/>
            </w:tcMar>
          </w:tcPr>
          <w:p w14:paraId="5A1B1B81" w14:textId="77777777" w:rsidR="004E7D69" w:rsidRDefault="00AA4EE0">
            <w:pPr>
              <w:widowControl w:val="0"/>
              <w:spacing w:line="240" w:lineRule="auto"/>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Recommendation for Third Cycle </w:t>
            </w:r>
          </w:p>
          <w:p w14:paraId="5CFB105C" w14:textId="77777777" w:rsidR="004E7D69" w:rsidRDefault="004E7D69">
            <w:pPr>
              <w:widowControl w:val="0"/>
              <w:spacing w:line="240" w:lineRule="auto"/>
              <w:rPr>
                <w:rFonts w:ascii="Times New Roman" w:eastAsia="Times New Roman" w:hAnsi="Times New Roman" w:cs="Times New Roman"/>
                <w:b/>
                <w:color w:val="FF0000"/>
                <w:sz w:val="21"/>
                <w:szCs w:val="21"/>
              </w:rPr>
            </w:pPr>
          </w:p>
          <w:p w14:paraId="26AF73DD"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68425587" w14:textId="77777777">
        <w:trPr>
          <w:trHeight w:val="420"/>
        </w:trPr>
        <w:tc>
          <w:tcPr>
            <w:tcW w:w="16275" w:type="dxa"/>
            <w:gridSpan w:val="6"/>
            <w:shd w:val="clear" w:color="auto" w:fill="D9E7FF"/>
            <w:tcMar>
              <w:top w:w="100" w:type="dxa"/>
              <w:left w:w="100" w:type="dxa"/>
              <w:bottom w:w="100" w:type="dxa"/>
              <w:right w:w="100" w:type="dxa"/>
            </w:tcMar>
          </w:tcPr>
          <w:p w14:paraId="7DDED29A" w14:textId="77777777" w:rsidR="004E7D69" w:rsidRDefault="00AA4EE0">
            <w:pPr>
              <w:widowControl w:val="0"/>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Institutions &amp; policies - General</w:t>
            </w:r>
          </w:p>
        </w:tc>
      </w:tr>
      <w:tr w:rsidR="004E7D69" w14:paraId="751A76F0" w14:textId="77777777">
        <w:trPr>
          <w:trHeight w:val="447"/>
        </w:trPr>
        <w:tc>
          <w:tcPr>
            <w:tcW w:w="2175" w:type="dxa"/>
            <w:shd w:val="clear" w:color="auto" w:fill="auto"/>
            <w:tcMar>
              <w:top w:w="100" w:type="dxa"/>
              <w:left w:w="100" w:type="dxa"/>
              <w:bottom w:w="100" w:type="dxa"/>
              <w:right w:w="100" w:type="dxa"/>
            </w:tcMar>
          </w:tcPr>
          <w:p w14:paraId="53D81859"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166.115 Continue taking effective policy and other measures to build a fair and inclusive society (Bhutan); </w:t>
            </w:r>
          </w:p>
          <w:p w14:paraId="242AF549"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w:t>
            </w:r>
          </w:p>
          <w:p w14:paraId="1F10BB07" w14:textId="77777777" w:rsidR="004E7D69" w:rsidRDefault="004E7D69">
            <w:pPr>
              <w:spacing w:before="40" w:after="40" w:line="240" w:lineRule="auto"/>
              <w:rPr>
                <w:rFonts w:ascii="Times New Roman" w:eastAsia="Times New Roman" w:hAnsi="Times New Roman" w:cs="Times New Roman"/>
                <w:sz w:val="21"/>
                <w:szCs w:val="21"/>
              </w:rPr>
            </w:pPr>
          </w:p>
        </w:tc>
        <w:tc>
          <w:tcPr>
            <w:tcW w:w="2205" w:type="dxa"/>
            <w:shd w:val="clear" w:color="auto" w:fill="auto"/>
            <w:tcMar>
              <w:top w:w="100" w:type="dxa"/>
              <w:left w:w="100" w:type="dxa"/>
              <w:bottom w:w="100" w:type="dxa"/>
              <w:right w:w="100" w:type="dxa"/>
            </w:tcMar>
          </w:tcPr>
          <w:p w14:paraId="5FE3B649"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A42 Institutions &amp; policies - General</w:t>
            </w:r>
          </w:p>
          <w:p w14:paraId="3DD4F7F2"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B32 Racial discrimination</w:t>
            </w:r>
          </w:p>
          <w:p w14:paraId="2E38C832"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G1 Members of minorities</w:t>
            </w:r>
          </w:p>
          <w:p w14:paraId="5364F25E"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62B2CF92"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general</w:t>
            </w:r>
          </w:p>
          <w:p w14:paraId="00D20290"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minorities/ racial, ethnic, linguistic, religious or descent-based groups</w:t>
            </w:r>
          </w:p>
          <w:p w14:paraId="13B8FEB8" w14:textId="77777777" w:rsidR="004E7D69" w:rsidRDefault="004E7D69">
            <w:pPr>
              <w:widowControl w:val="0"/>
              <w:spacing w:line="240" w:lineRule="auto"/>
              <w:rPr>
                <w:rFonts w:ascii="Times New Roman" w:eastAsia="Times New Roman" w:hAnsi="Times New Roman" w:cs="Times New Roman"/>
                <w:sz w:val="21"/>
                <w:szCs w:val="21"/>
              </w:rPr>
            </w:pPr>
          </w:p>
        </w:tc>
        <w:tc>
          <w:tcPr>
            <w:tcW w:w="1965" w:type="dxa"/>
            <w:shd w:val="clear" w:color="auto" w:fill="auto"/>
            <w:tcMar>
              <w:top w:w="100" w:type="dxa"/>
              <w:left w:w="100" w:type="dxa"/>
              <w:bottom w:w="100" w:type="dxa"/>
              <w:right w:w="100" w:type="dxa"/>
            </w:tcMar>
          </w:tcPr>
          <w:p w14:paraId="3B10995C"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Supported</w:t>
            </w:r>
          </w:p>
        </w:tc>
        <w:tc>
          <w:tcPr>
            <w:tcW w:w="3300" w:type="dxa"/>
            <w:shd w:val="clear" w:color="auto" w:fill="auto"/>
            <w:tcMar>
              <w:top w:w="100" w:type="dxa"/>
              <w:left w:w="100" w:type="dxa"/>
              <w:bottom w:w="100" w:type="dxa"/>
              <w:right w:w="100" w:type="dxa"/>
            </w:tcMar>
          </w:tcPr>
          <w:p w14:paraId="06D82C77" w14:textId="77777777" w:rsidR="004E7D69" w:rsidRDefault="00AA4EE0">
            <w:pPr>
              <w:numPr>
                <w:ilvl w:val="0"/>
                <w:numId w:val="19"/>
              </w:numPr>
              <w:rPr>
                <w:rFonts w:ascii="Times New Roman" w:eastAsia="Times New Roman" w:hAnsi="Times New Roman" w:cs="Times New Roman"/>
                <w:sz w:val="21"/>
                <w:szCs w:val="21"/>
              </w:rPr>
            </w:pPr>
            <w:r>
              <w:rPr>
                <w:rFonts w:ascii="Times New Roman" w:eastAsia="Times New Roman" w:hAnsi="Times New Roman" w:cs="Times New Roman"/>
                <w:sz w:val="21"/>
                <w:szCs w:val="21"/>
              </w:rPr>
              <w:t>In March 2020, a High Court judge dismissed three men's court actions against Section 377A</w:t>
            </w:r>
            <w:r>
              <w:rPr>
                <w:rFonts w:ascii="Times New Roman" w:eastAsia="Times New Roman" w:hAnsi="Times New Roman" w:cs="Times New Roman"/>
                <w:sz w:val="21"/>
                <w:szCs w:val="21"/>
                <w:vertAlign w:val="superscript"/>
              </w:rPr>
              <w:footnoteReference w:id="3"/>
            </w:r>
            <w:r>
              <w:rPr>
                <w:rFonts w:ascii="Times New Roman" w:eastAsia="Times New Roman" w:hAnsi="Times New Roman" w:cs="Times New Roman"/>
                <w:sz w:val="21"/>
                <w:szCs w:val="21"/>
              </w:rPr>
              <w:t>, in line with Prime Minister Lee Hsien Loong had stated in June 2019 that Section 377A will be around 'for some time'</w:t>
            </w:r>
            <w:r>
              <w:rPr>
                <w:rFonts w:ascii="Times New Roman" w:eastAsia="Times New Roman" w:hAnsi="Times New Roman" w:cs="Times New Roman"/>
                <w:sz w:val="21"/>
                <w:szCs w:val="21"/>
                <w:vertAlign w:val="superscript"/>
              </w:rPr>
              <w:footnoteReference w:id="4"/>
            </w:r>
            <w:r>
              <w:rPr>
                <w:rFonts w:ascii="Times New Roman" w:eastAsia="Times New Roman" w:hAnsi="Times New Roman" w:cs="Times New Roman"/>
                <w:sz w:val="21"/>
                <w:szCs w:val="21"/>
              </w:rPr>
              <w:t xml:space="preserve"> </w:t>
            </w:r>
          </w:p>
          <w:p w14:paraId="2E2E7858" w14:textId="77777777" w:rsidR="004E7D69" w:rsidRDefault="004E7D69">
            <w:pPr>
              <w:ind w:left="720"/>
              <w:rPr>
                <w:rFonts w:ascii="Times New Roman" w:eastAsia="Times New Roman" w:hAnsi="Times New Roman" w:cs="Times New Roman"/>
                <w:sz w:val="21"/>
                <w:szCs w:val="21"/>
              </w:rPr>
            </w:pPr>
          </w:p>
          <w:p w14:paraId="47CB9AC4" w14:textId="77777777" w:rsidR="004E7D69" w:rsidRDefault="00AA4EE0">
            <w:pPr>
              <w:numPr>
                <w:ilvl w:val="0"/>
                <w:numId w:val="19"/>
              </w:numPr>
              <w:rPr>
                <w:rFonts w:ascii="Times New Roman" w:eastAsia="Times New Roman" w:hAnsi="Times New Roman" w:cs="Times New Roman"/>
                <w:sz w:val="21"/>
                <w:szCs w:val="21"/>
              </w:rPr>
            </w:pPr>
            <w:r>
              <w:rPr>
                <w:rFonts w:ascii="Times New Roman" w:eastAsia="Times New Roman" w:hAnsi="Times New Roman" w:cs="Times New Roman"/>
                <w:sz w:val="21"/>
                <w:szCs w:val="21"/>
              </w:rPr>
              <w:t>No laws to protect specifically LBGTQ persons from discrimination, even while Home Affairs Minister K. Shanmugam explicitly stated th</w:t>
            </w:r>
            <w:r>
              <w:rPr>
                <w:rFonts w:ascii="Times New Roman" w:eastAsia="Times New Roman" w:hAnsi="Times New Roman" w:cs="Times New Roman"/>
                <w:sz w:val="21"/>
                <w:szCs w:val="21"/>
              </w:rPr>
              <w:t xml:space="preserve">at the LGBTQ </w:t>
            </w:r>
            <w:r>
              <w:rPr>
                <w:rFonts w:ascii="Times New Roman" w:eastAsia="Times New Roman" w:hAnsi="Times New Roman" w:cs="Times New Roman"/>
                <w:sz w:val="21"/>
                <w:szCs w:val="21"/>
              </w:rPr>
              <w:lastRenderedPageBreak/>
              <w:t xml:space="preserve">community is protected under the Maintenance of Religious Harmony Act </w:t>
            </w:r>
          </w:p>
          <w:p w14:paraId="68FD2007" w14:textId="77777777" w:rsidR="004E7D69" w:rsidRDefault="004E7D69">
            <w:pPr>
              <w:ind w:left="720"/>
              <w:rPr>
                <w:rFonts w:ascii="Times New Roman" w:eastAsia="Times New Roman" w:hAnsi="Times New Roman" w:cs="Times New Roman"/>
                <w:sz w:val="21"/>
                <w:szCs w:val="21"/>
              </w:rPr>
            </w:pPr>
          </w:p>
          <w:p w14:paraId="51C289AE" w14:textId="77777777" w:rsidR="004E7D69" w:rsidRDefault="00AA4EE0">
            <w:pPr>
              <w:numPr>
                <w:ilvl w:val="0"/>
                <w:numId w:val="19"/>
              </w:numPr>
              <w:rPr>
                <w:rFonts w:ascii="Times New Roman" w:eastAsia="Times New Roman" w:hAnsi="Times New Roman" w:cs="Times New Roman"/>
                <w:sz w:val="21"/>
                <w:szCs w:val="21"/>
              </w:rPr>
            </w:pPr>
            <w:r>
              <w:rPr>
                <w:rFonts w:ascii="Times New Roman" w:eastAsia="Times New Roman" w:hAnsi="Times New Roman" w:cs="Times New Roman"/>
                <w:sz w:val="21"/>
                <w:szCs w:val="21"/>
              </w:rPr>
              <w:t>Nonetheless, we are heartened that the court has made decisions in favour of the well-being of dependents over archaic beliefs on sexual orientation and see this as a smal</w:t>
            </w:r>
            <w:r>
              <w:rPr>
                <w:rFonts w:ascii="Times New Roman" w:eastAsia="Times New Roman" w:hAnsi="Times New Roman" w:cs="Times New Roman"/>
                <w:sz w:val="21"/>
                <w:szCs w:val="21"/>
              </w:rPr>
              <w:t>l step in the right direction</w:t>
            </w:r>
            <w:r>
              <w:rPr>
                <w:rFonts w:ascii="Times New Roman" w:eastAsia="Times New Roman" w:hAnsi="Times New Roman" w:cs="Times New Roman"/>
                <w:sz w:val="21"/>
                <w:szCs w:val="21"/>
                <w:vertAlign w:val="superscript"/>
              </w:rPr>
              <w:footnoteReference w:id="5"/>
            </w:r>
            <w:r>
              <w:rPr>
                <w:rFonts w:ascii="Times New Roman" w:eastAsia="Times New Roman" w:hAnsi="Times New Roman" w:cs="Times New Roman"/>
                <w:sz w:val="21"/>
                <w:szCs w:val="21"/>
              </w:rPr>
              <w:t>.</w:t>
            </w:r>
          </w:p>
          <w:p w14:paraId="2F28A996" w14:textId="77777777" w:rsidR="004E7D69" w:rsidRDefault="004E7D69">
            <w:pPr>
              <w:rPr>
                <w:rFonts w:ascii="Times New Roman" w:eastAsia="Times New Roman" w:hAnsi="Times New Roman" w:cs="Times New Roman"/>
                <w:sz w:val="21"/>
                <w:szCs w:val="21"/>
              </w:rPr>
            </w:pPr>
          </w:p>
        </w:tc>
        <w:tc>
          <w:tcPr>
            <w:tcW w:w="3345" w:type="dxa"/>
            <w:shd w:val="clear" w:color="auto" w:fill="auto"/>
            <w:tcMar>
              <w:top w:w="100" w:type="dxa"/>
              <w:left w:w="100" w:type="dxa"/>
              <w:bottom w:w="100" w:type="dxa"/>
              <w:right w:w="100" w:type="dxa"/>
            </w:tcMar>
          </w:tcPr>
          <w:p w14:paraId="45FE9D02" w14:textId="77777777" w:rsidR="004E7D69" w:rsidRDefault="00AA4EE0">
            <w:pPr>
              <w:numPr>
                <w:ilvl w:val="0"/>
                <w:numId w:val="3"/>
              </w:numPr>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 xml:space="preserve"> Similar to third cycle recommendation </w:t>
            </w:r>
          </w:p>
        </w:tc>
        <w:tc>
          <w:tcPr>
            <w:tcW w:w="3285" w:type="dxa"/>
            <w:shd w:val="clear" w:color="auto" w:fill="auto"/>
            <w:tcMar>
              <w:top w:w="100" w:type="dxa"/>
              <w:left w:w="100" w:type="dxa"/>
              <w:bottom w:w="100" w:type="dxa"/>
              <w:right w:w="100" w:type="dxa"/>
            </w:tcMar>
          </w:tcPr>
          <w:p w14:paraId="53DA346F" w14:textId="77777777" w:rsidR="004E7D69" w:rsidRDefault="00AA4EE0">
            <w:pPr>
              <w:numPr>
                <w:ilvl w:val="0"/>
                <w:numId w:val="3"/>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acknowledge the amendment made to the MRHA. But we ask again that </w:t>
            </w:r>
            <w:r>
              <w:rPr>
                <w:rFonts w:ascii="Times New Roman" w:eastAsia="Times New Roman" w:hAnsi="Times New Roman" w:cs="Times New Roman"/>
                <w:color w:val="FF0000"/>
                <w:sz w:val="21"/>
                <w:szCs w:val="21"/>
              </w:rPr>
              <w:t>Section 377A be repealed, we enact an Anti-Discrimination law</w:t>
            </w:r>
            <w:r>
              <w:rPr>
                <w:rFonts w:ascii="Times New Roman" w:eastAsia="Times New Roman" w:hAnsi="Times New Roman" w:cs="Times New Roman"/>
                <w:sz w:val="21"/>
                <w:szCs w:val="21"/>
              </w:rPr>
              <w:t xml:space="preserve"> in Singapore to protect LGBTQ Singaporeans and become inclusive.</w:t>
            </w:r>
          </w:p>
        </w:tc>
      </w:tr>
      <w:tr w:rsidR="004E7D69" w14:paraId="73661B4B" w14:textId="77777777">
        <w:trPr>
          <w:trHeight w:val="447"/>
        </w:trPr>
        <w:tc>
          <w:tcPr>
            <w:tcW w:w="2175" w:type="dxa"/>
            <w:shd w:val="clear" w:color="auto" w:fill="auto"/>
            <w:tcMar>
              <w:top w:w="100" w:type="dxa"/>
              <w:left w:w="100" w:type="dxa"/>
              <w:bottom w:w="100" w:type="dxa"/>
              <w:right w:w="100" w:type="dxa"/>
            </w:tcMar>
          </w:tcPr>
          <w:p w14:paraId="1351D59E"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166.123 Carry out general awareness-raising campaigns aimed at combating discrimination in all its forms (Chile); </w:t>
            </w:r>
          </w:p>
          <w:p w14:paraId="457CCEC3"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w:t>
            </w:r>
          </w:p>
          <w:p w14:paraId="6014E9CD" w14:textId="77777777" w:rsidR="004E7D69" w:rsidRDefault="004E7D69">
            <w:pPr>
              <w:spacing w:before="40" w:after="40" w:line="240" w:lineRule="auto"/>
              <w:rPr>
                <w:rFonts w:ascii="Times New Roman" w:eastAsia="Times New Roman" w:hAnsi="Times New Roman" w:cs="Times New Roman"/>
                <w:sz w:val="21"/>
                <w:szCs w:val="21"/>
              </w:rPr>
            </w:pPr>
          </w:p>
        </w:tc>
        <w:tc>
          <w:tcPr>
            <w:tcW w:w="2205" w:type="dxa"/>
            <w:shd w:val="clear" w:color="auto" w:fill="auto"/>
            <w:tcMar>
              <w:top w:w="100" w:type="dxa"/>
              <w:left w:w="100" w:type="dxa"/>
              <w:bottom w:w="100" w:type="dxa"/>
              <w:right w:w="100" w:type="dxa"/>
            </w:tcMar>
          </w:tcPr>
          <w:p w14:paraId="1D5A4AF2"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A5 Human rights education, trainings and awareness raising</w:t>
            </w:r>
          </w:p>
          <w:p w14:paraId="2BF9E7DA"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B31 Equality &amp; non-discrimination</w:t>
            </w:r>
          </w:p>
          <w:p w14:paraId="2D406A0B"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Affected </w:t>
            </w:r>
            <w:r>
              <w:rPr>
                <w:rFonts w:ascii="Times New Roman" w:eastAsia="Times New Roman" w:hAnsi="Times New Roman" w:cs="Times New Roman"/>
                <w:b/>
                <w:sz w:val="21"/>
                <w:szCs w:val="21"/>
              </w:rPr>
              <w:t>persons:</w:t>
            </w:r>
          </w:p>
          <w:p w14:paraId="1B30E54A"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general</w:t>
            </w:r>
          </w:p>
        </w:tc>
        <w:tc>
          <w:tcPr>
            <w:tcW w:w="1965" w:type="dxa"/>
            <w:shd w:val="clear" w:color="auto" w:fill="auto"/>
            <w:tcMar>
              <w:top w:w="100" w:type="dxa"/>
              <w:left w:w="100" w:type="dxa"/>
              <w:bottom w:w="100" w:type="dxa"/>
              <w:right w:w="100" w:type="dxa"/>
            </w:tcMar>
          </w:tcPr>
          <w:p w14:paraId="3DD911B0"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Supported</w:t>
            </w:r>
          </w:p>
        </w:tc>
        <w:tc>
          <w:tcPr>
            <w:tcW w:w="3300" w:type="dxa"/>
            <w:shd w:val="clear" w:color="auto" w:fill="auto"/>
            <w:tcMar>
              <w:top w:w="100" w:type="dxa"/>
              <w:left w:w="100" w:type="dxa"/>
              <w:bottom w:w="100" w:type="dxa"/>
              <w:right w:w="100" w:type="dxa"/>
            </w:tcMar>
          </w:tcPr>
          <w:p w14:paraId="4B88638E" w14:textId="77777777" w:rsidR="004E7D69" w:rsidRDefault="00AA4EE0">
            <w:pPr>
              <w:numPr>
                <w:ilvl w:val="0"/>
                <w:numId w:val="8"/>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COVID-19 has brought to the forefront issues related to race and ethnicity. Facebook had to remove a few vile postings. These postings also triggered experiences of prejudice and discrimination that Singaporeans – mainly the </w:t>
            </w:r>
            <w:r>
              <w:rPr>
                <w:rFonts w:ascii="Times New Roman" w:eastAsia="Times New Roman" w:hAnsi="Times New Roman" w:cs="Times New Roman"/>
                <w:sz w:val="21"/>
                <w:szCs w:val="21"/>
              </w:rPr>
              <w:lastRenderedPageBreak/>
              <w:t>In</w:t>
            </w:r>
            <w:r>
              <w:rPr>
                <w:rFonts w:ascii="Times New Roman" w:eastAsia="Times New Roman" w:hAnsi="Times New Roman" w:cs="Times New Roman"/>
                <w:sz w:val="21"/>
                <w:szCs w:val="21"/>
              </w:rPr>
              <w:t>dians and Malays – have experienced.</w:t>
            </w:r>
            <w:r>
              <w:rPr>
                <w:rFonts w:ascii="Times New Roman" w:eastAsia="Times New Roman" w:hAnsi="Times New Roman" w:cs="Times New Roman"/>
                <w:sz w:val="21"/>
                <w:szCs w:val="21"/>
                <w:vertAlign w:val="superscript"/>
              </w:rPr>
              <w:footnoteReference w:id="6"/>
            </w:r>
            <w:r>
              <w:rPr>
                <w:rFonts w:ascii="Times New Roman" w:eastAsia="Times New Roman" w:hAnsi="Times New Roman" w:cs="Times New Roman"/>
                <w:sz w:val="21"/>
                <w:szCs w:val="21"/>
              </w:rPr>
              <w:t xml:space="preserve"> </w:t>
            </w:r>
          </w:p>
        </w:tc>
        <w:tc>
          <w:tcPr>
            <w:tcW w:w="3345" w:type="dxa"/>
            <w:shd w:val="clear" w:color="auto" w:fill="auto"/>
            <w:tcMar>
              <w:top w:w="100" w:type="dxa"/>
              <w:left w:w="100" w:type="dxa"/>
              <w:bottom w:w="100" w:type="dxa"/>
              <w:right w:w="100" w:type="dxa"/>
            </w:tcMar>
          </w:tcPr>
          <w:p w14:paraId="4A601787" w14:textId="77777777" w:rsidR="004E7D69" w:rsidRDefault="00AA4EE0">
            <w:pPr>
              <w:numPr>
                <w:ilvl w:val="0"/>
                <w:numId w:val="3"/>
              </w:numPr>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 xml:space="preserve"> Similar to third cycle recommendation </w:t>
            </w:r>
          </w:p>
        </w:tc>
        <w:tc>
          <w:tcPr>
            <w:tcW w:w="3285" w:type="dxa"/>
            <w:shd w:val="clear" w:color="auto" w:fill="auto"/>
            <w:tcMar>
              <w:top w:w="100" w:type="dxa"/>
              <w:left w:w="100" w:type="dxa"/>
              <w:bottom w:w="100" w:type="dxa"/>
              <w:right w:w="100" w:type="dxa"/>
            </w:tcMar>
          </w:tcPr>
          <w:p w14:paraId="637360D2" w14:textId="77777777" w:rsidR="004E7D69" w:rsidRDefault="00AA4EE0">
            <w:pPr>
              <w:numPr>
                <w:ilvl w:val="0"/>
                <w:numId w:val="9"/>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MRHA is not adequate enough. We ask for an </w:t>
            </w:r>
            <w:r>
              <w:rPr>
                <w:rFonts w:ascii="Times New Roman" w:eastAsia="Times New Roman" w:hAnsi="Times New Roman" w:cs="Times New Roman"/>
                <w:color w:val="FF0000"/>
                <w:sz w:val="21"/>
                <w:szCs w:val="21"/>
              </w:rPr>
              <w:t>Anti-Discrimination law</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FF0000"/>
                <w:sz w:val="21"/>
                <w:szCs w:val="21"/>
              </w:rPr>
              <w:t>sensitised training</w:t>
            </w:r>
            <w:r>
              <w:rPr>
                <w:rFonts w:ascii="Times New Roman" w:eastAsia="Times New Roman" w:hAnsi="Times New Roman" w:cs="Times New Roman"/>
                <w:sz w:val="21"/>
                <w:szCs w:val="21"/>
              </w:rPr>
              <w:t xml:space="preserve"> for teachers and human resource personnel and on human rights as a value system. </w:t>
            </w:r>
          </w:p>
          <w:p w14:paraId="5C563CC4" w14:textId="77777777" w:rsidR="004E7D69" w:rsidRDefault="004E7D69">
            <w:pPr>
              <w:widowControl w:val="0"/>
              <w:spacing w:line="240" w:lineRule="auto"/>
              <w:rPr>
                <w:rFonts w:ascii="Times New Roman" w:eastAsia="Times New Roman" w:hAnsi="Times New Roman" w:cs="Times New Roman"/>
                <w:sz w:val="21"/>
                <w:szCs w:val="21"/>
              </w:rPr>
            </w:pPr>
          </w:p>
        </w:tc>
      </w:tr>
    </w:tbl>
    <w:p w14:paraId="2F320242" w14:textId="77777777" w:rsidR="004E7D69" w:rsidRDefault="004E7D69">
      <w:pPr>
        <w:rPr>
          <w:rFonts w:ascii="Times New Roman" w:eastAsia="Times New Roman" w:hAnsi="Times New Roman" w:cs="Times New Roman"/>
          <w:sz w:val="21"/>
          <w:szCs w:val="21"/>
        </w:rPr>
      </w:pPr>
    </w:p>
    <w:p w14:paraId="2C8D7B1D" w14:textId="77777777" w:rsidR="004E7D69" w:rsidRDefault="004E7D69">
      <w:pPr>
        <w:rPr>
          <w:rFonts w:ascii="Times New Roman" w:eastAsia="Times New Roman" w:hAnsi="Times New Roman" w:cs="Times New Roman"/>
          <w:sz w:val="21"/>
          <w:szCs w:val="21"/>
        </w:rPr>
      </w:pPr>
    </w:p>
    <w:p w14:paraId="4AB8D8E8" w14:textId="77777777" w:rsidR="004E7D69" w:rsidRDefault="004E7D69">
      <w:pPr>
        <w:rPr>
          <w:rFonts w:ascii="Times New Roman" w:eastAsia="Times New Roman" w:hAnsi="Times New Roman" w:cs="Times New Roman"/>
          <w:sz w:val="21"/>
          <w:szCs w:val="21"/>
        </w:rPr>
      </w:pPr>
    </w:p>
    <w:p w14:paraId="30662029" w14:textId="77777777" w:rsidR="004E7D69" w:rsidRDefault="004E7D69">
      <w:pPr>
        <w:rPr>
          <w:rFonts w:ascii="Times New Roman" w:eastAsia="Times New Roman" w:hAnsi="Times New Roman" w:cs="Times New Roman"/>
          <w:sz w:val="21"/>
          <w:szCs w:val="21"/>
        </w:rPr>
      </w:pPr>
    </w:p>
    <w:p w14:paraId="58ECA39A" w14:textId="77777777" w:rsidR="004E7D69" w:rsidRDefault="004E7D69">
      <w:pPr>
        <w:rPr>
          <w:rFonts w:ascii="Times New Roman" w:eastAsia="Times New Roman" w:hAnsi="Times New Roman" w:cs="Times New Roman"/>
          <w:sz w:val="21"/>
          <w:szCs w:val="21"/>
        </w:rPr>
      </w:pPr>
    </w:p>
    <w:tbl>
      <w:tblPr>
        <w:tblStyle w:val="a1"/>
        <w:tblW w:w="16290"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1755"/>
        <w:gridCol w:w="3600"/>
        <w:gridCol w:w="3360"/>
        <w:gridCol w:w="3675"/>
      </w:tblGrid>
      <w:tr w:rsidR="004E7D69" w14:paraId="066783B5" w14:textId="77777777">
        <w:tc>
          <w:tcPr>
            <w:tcW w:w="1905" w:type="dxa"/>
            <w:shd w:val="clear" w:color="auto" w:fill="A4C2F4"/>
            <w:tcMar>
              <w:top w:w="100" w:type="dxa"/>
              <w:left w:w="100" w:type="dxa"/>
              <w:bottom w:w="100" w:type="dxa"/>
              <w:right w:w="100" w:type="dxa"/>
            </w:tcMar>
          </w:tcPr>
          <w:p w14:paraId="094D3B91"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1995" w:type="dxa"/>
            <w:shd w:val="clear" w:color="auto" w:fill="A4C2F4"/>
            <w:tcMar>
              <w:top w:w="100" w:type="dxa"/>
              <w:left w:w="100" w:type="dxa"/>
              <w:bottom w:w="100" w:type="dxa"/>
              <w:right w:w="100" w:type="dxa"/>
            </w:tcMar>
          </w:tcPr>
          <w:p w14:paraId="72F2DD60"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755" w:type="dxa"/>
            <w:shd w:val="clear" w:color="auto" w:fill="A4C2F4"/>
            <w:tcMar>
              <w:top w:w="100" w:type="dxa"/>
              <w:left w:w="100" w:type="dxa"/>
              <w:bottom w:w="100" w:type="dxa"/>
              <w:right w:w="100" w:type="dxa"/>
            </w:tcMar>
          </w:tcPr>
          <w:p w14:paraId="6A239273"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600" w:type="dxa"/>
            <w:shd w:val="clear" w:color="auto" w:fill="A4C2F4"/>
            <w:tcMar>
              <w:top w:w="100" w:type="dxa"/>
              <w:left w:w="100" w:type="dxa"/>
              <w:bottom w:w="100" w:type="dxa"/>
              <w:right w:w="100" w:type="dxa"/>
            </w:tcMar>
          </w:tcPr>
          <w:p w14:paraId="71B6393D"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360" w:type="dxa"/>
            <w:shd w:val="clear" w:color="auto" w:fill="A4C2F4"/>
            <w:tcMar>
              <w:top w:w="100" w:type="dxa"/>
              <w:left w:w="100" w:type="dxa"/>
              <w:bottom w:w="100" w:type="dxa"/>
              <w:right w:w="100" w:type="dxa"/>
            </w:tcMar>
          </w:tcPr>
          <w:p w14:paraId="76BED5D6"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p w14:paraId="121E7C8A" w14:textId="77777777" w:rsidR="004E7D69" w:rsidRDefault="004E7D69">
            <w:pPr>
              <w:widowControl w:val="0"/>
              <w:spacing w:line="240" w:lineRule="auto"/>
              <w:rPr>
                <w:rFonts w:ascii="Times New Roman" w:eastAsia="Times New Roman" w:hAnsi="Times New Roman" w:cs="Times New Roman"/>
                <w:b/>
                <w:sz w:val="21"/>
                <w:szCs w:val="21"/>
              </w:rPr>
            </w:pPr>
          </w:p>
        </w:tc>
        <w:tc>
          <w:tcPr>
            <w:tcW w:w="3675" w:type="dxa"/>
            <w:shd w:val="clear" w:color="auto" w:fill="A4C2F4"/>
            <w:tcMar>
              <w:top w:w="100" w:type="dxa"/>
              <w:left w:w="100" w:type="dxa"/>
              <w:bottom w:w="100" w:type="dxa"/>
              <w:right w:w="100" w:type="dxa"/>
            </w:tcMar>
          </w:tcPr>
          <w:p w14:paraId="369C6F1C" w14:textId="77777777" w:rsidR="004E7D69" w:rsidRDefault="00AA4EE0">
            <w:pPr>
              <w:widowControl w:val="0"/>
              <w:spacing w:line="240" w:lineRule="auto"/>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Recommendation for Third Cycle </w:t>
            </w:r>
          </w:p>
          <w:p w14:paraId="2A5F48C2" w14:textId="77777777" w:rsidR="004E7D69" w:rsidRDefault="004E7D69">
            <w:pPr>
              <w:widowControl w:val="0"/>
              <w:spacing w:line="240" w:lineRule="auto"/>
              <w:rPr>
                <w:rFonts w:ascii="Times New Roman" w:eastAsia="Times New Roman" w:hAnsi="Times New Roman" w:cs="Times New Roman"/>
                <w:b/>
                <w:sz w:val="21"/>
                <w:szCs w:val="21"/>
              </w:rPr>
            </w:pPr>
          </w:p>
          <w:p w14:paraId="24770E2C"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10B1388F" w14:textId="77777777">
        <w:trPr>
          <w:trHeight w:val="420"/>
        </w:trPr>
        <w:tc>
          <w:tcPr>
            <w:tcW w:w="16290" w:type="dxa"/>
            <w:gridSpan w:val="6"/>
            <w:shd w:val="clear" w:color="auto" w:fill="D9E7FF"/>
            <w:tcMar>
              <w:top w:w="100" w:type="dxa"/>
              <w:left w:w="100" w:type="dxa"/>
              <w:bottom w:w="100" w:type="dxa"/>
              <w:right w:w="100" w:type="dxa"/>
            </w:tcMar>
          </w:tcPr>
          <w:p w14:paraId="4C346270"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D43 Freedom of opinion and expression</w:t>
            </w:r>
          </w:p>
        </w:tc>
      </w:tr>
      <w:tr w:rsidR="004E7D69" w14:paraId="43653D23" w14:textId="77777777">
        <w:trPr>
          <w:trHeight w:val="447"/>
        </w:trPr>
        <w:tc>
          <w:tcPr>
            <w:tcW w:w="1905" w:type="dxa"/>
            <w:shd w:val="clear" w:color="auto" w:fill="auto"/>
            <w:tcMar>
              <w:top w:w="100" w:type="dxa"/>
              <w:left w:w="100" w:type="dxa"/>
              <w:bottom w:w="100" w:type="dxa"/>
              <w:right w:w="100" w:type="dxa"/>
            </w:tcMar>
          </w:tcPr>
          <w:p w14:paraId="79D37F91"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166.202 Ensure that freedom of opinion and expression are encouraged and protected, including for individuals and organizations communicating via online public platforms (New Zealand);</w:t>
            </w:r>
          </w:p>
          <w:p w14:paraId="41D1D1AA"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Source of position:</w:t>
            </w:r>
            <w:r>
              <w:rPr>
                <w:rFonts w:ascii="Times New Roman" w:eastAsia="Times New Roman" w:hAnsi="Times New Roman" w:cs="Times New Roman"/>
                <w:sz w:val="21"/>
                <w:szCs w:val="21"/>
              </w:rPr>
              <w:t xml:space="preserve"> A/HRC/32/17/Add.1</w:t>
            </w:r>
          </w:p>
          <w:p w14:paraId="2965477E" w14:textId="77777777" w:rsidR="004E7D69" w:rsidRDefault="004E7D69">
            <w:pPr>
              <w:spacing w:before="40" w:after="40" w:line="240" w:lineRule="auto"/>
              <w:rPr>
                <w:rFonts w:ascii="Times New Roman" w:eastAsia="Times New Roman" w:hAnsi="Times New Roman" w:cs="Times New Roman"/>
                <w:sz w:val="21"/>
                <w:szCs w:val="21"/>
              </w:rPr>
            </w:pPr>
          </w:p>
        </w:tc>
        <w:tc>
          <w:tcPr>
            <w:tcW w:w="1995" w:type="dxa"/>
            <w:shd w:val="clear" w:color="auto" w:fill="auto"/>
            <w:tcMar>
              <w:top w:w="100" w:type="dxa"/>
              <w:left w:w="100" w:type="dxa"/>
              <w:bottom w:w="100" w:type="dxa"/>
              <w:right w:w="100" w:type="dxa"/>
            </w:tcMar>
          </w:tcPr>
          <w:p w14:paraId="2D74735B"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D43 Freedom of opinion and expre</w:t>
            </w:r>
            <w:r>
              <w:rPr>
                <w:rFonts w:ascii="Times New Roman" w:eastAsia="Times New Roman" w:hAnsi="Times New Roman" w:cs="Times New Roman"/>
                <w:sz w:val="21"/>
                <w:szCs w:val="21"/>
              </w:rPr>
              <w:t>ssion</w:t>
            </w:r>
          </w:p>
          <w:p w14:paraId="677A47F1"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5926D93E"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general</w:t>
            </w:r>
          </w:p>
        </w:tc>
        <w:tc>
          <w:tcPr>
            <w:tcW w:w="1755" w:type="dxa"/>
            <w:shd w:val="clear" w:color="auto" w:fill="auto"/>
            <w:tcMar>
              <w:top w:w="100" w:type="dxa"/>
              <w:left w:w="100" w:type="dxa"/>
              <w:bottom w:w="100" w:type="dxa"/>
              <w:right w:w="100" w:type="dxa"/>
            </w:tcMar>
          </w:tcPr>
          <w:p w14:paraId="4269008E"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Supported </w:t>
            </w:r>
          </w:p>
          <w:p w14:paraId="51472A0A" w14:textId="77777777" w:rsidR="004E7D69" w:rsidRDefault="004E7D69">
            <w:pPr>
              <w:spacing w:before="40" w:after="40" w:line="240" w:lineRule="auto"/>
              <w:rPr>
                <w:rFonts w:ascii="Times New Roman" w:eastAsia="Times New Roman" w:hAnsi="Times New Roman" w:cs="Times New Roman"/>
                <w:sz w:val="21"/>
                <w:szCs w:val="21"/>
              </w:rPr>
            </w:pPr>
          </w:p>
        </w:tc>
        <w:tc>
          <w:tcPr>
            <w:tcW w:w="3600" w:type="dxa"/>
            <w:shd w:val="clear" w:color="auto" w:fill="auto"/>
            <w:tcMar>
              <w:top w:w="100" w:type="dxa"/>
              <w:left w:w="100" w:type="dxa"/>
              <w:bottom w:w="100" w:type="dxa"/>
              <w:right w:w="100" w:type="dxa"/>
            </w:tcMar>
          </w:tcPr>
          <w:p w14:paraId="3224B566" w14:textId="77777777" w:rsidR="004E7D69" w:rsidRDefault="00AA4EE0">
            <w:pPr>
              <w:numPr>
                <w:ilvl w:val="0"/>
                <w:numId w:val="10"/>
              </w:numPr>
              <w:rPr>
                <w:rFonts w:ascii="Times New Roman" w:eastAsia="Times New Roman" w:hAnsi="Times New Roman" w:cs="Times New Roman"/>
                <w:sz w:val="21"/>
                <w:szCs w:val="21"/>
              </w:rPr>
            </w:pPr>
            <w:r>
              <w:rPr>
                <w:rFonts w:ascii="Times New Roman" w:eastAsia="Times New Roman" w:hAnsi="Times New Roman" w:cs="Times New Roman"/>
                <w:sz w:val="21"/>
                <w:szCs w:val="21"/>
              </w:rPr>
              <w:t>Defamation remains a criminal offence under the Penal Code in Singapore</w:t>
            </w:r>
            <w:r>
              <w:rPr>
                <w:rFonts w:ascii="Times New Roman" w:eastAsia="Times New Roman" w:hAnsi="Times New Roman" w:cs="Times New Roman"/>
                <w:sz w:val="21"/>
                <w:szCs w:val="21"/>
                <w:vertAlign w:val="superscript"/>
              </w:rPr>
              <w:footnoteReference w:id="7"/>
            </w:r>
            <w:r>
              <w:rPr>
                <w:rFonts w:ascii="Times New Roman" w:eastAsia="Times New Roman" w:hAnsi="Times New Roman" w:cs="Times New Roman"/>
                <w:sz w:val="21"/>
                <w:szCs w:val="21"/>
              </w:rPr>
              <w:t xml:space="preserve"> </w:t>
            </w:r>
          </w:p>
          <w:p w14:paraId="454FD5E2" w14:textId="77777777" w:rsidR="004E7D69" w:rsidRDefault="004E7D69">
            <w:pPr>
              <w:rPr>
                <w:rFonts w:ascii="Times New Roman" w:eastAsia="Times New Roman" w:hAnsi="Times New Roman" w:cs="Times New Roman"/>
                <w:sz w:val="21"/>
                <w:szCs w:val="21"/>
              </w:rPr>
            </w:pPr>
          </w:p>
          <w:p w14:paraId="22CD120D" w14:textId="77777777" w:rsidR="004E7D69" w:rsidRDefault="00AA4EE0">
            <w:pPr>
              <w:numPr>
                <w:ilvl w:val="0"/>
                <w:numId w:val="11"/>
              </w:numPr>
              <w:rPr>
                <w:rFonts w:ascii="Times New Roman" w:eastAsia="Times New Roman" w:hAnsi="Times New Roman" w:cs="Times New Roman"/>
                <w:sz w:val="21"/>
                <w:szCs w:val="21"/>
              </w:rPr>
            </w:pPr>
            <w:r>
              <w:rPr>
                <w:rFonts w:ascii="Times New Roman" w:eastAsia="Times New Roman" w:hAnsi="Times New Roman" w:cs="Times New Roman"/>
                <w:sz w:val="21"/>
                <w:szCs w:val="21"/>
              </w:rPr>
              <w:t>Government Ministers in Singapore have also frequently filed civil suits for defamation against their critics</w:t>
            </w:r>
            <w:r>
              <w:rPr>
                <w:rFonts w:ascii="Times New Roman" w:eastAsia="Times New Roman" w:hAnsi="Times New Roman" w:cs="Times New Roman"/>
                <w:sz w:val="21"/>
                <w:szCs w:val="21"/>
                <w:vertAlign w:val="superscript"/>
              </w:rPr>
              <w:footnoteReference w:id="8"/>
            </w:r>
            <w:r>
              <w:rPr>
                <w:rFonts w:ascii="Times New Roman" w:eastAsia="Times New Roman" w:hAnsi="Times New Roman" w:cs="Times New Roman"/>
                <w:sz w:val="21"/>
                <w:szCs w:val="21"/>
              </w:rPr>
              <w:t xml:space="preserve">. </w:t>
            </w:r>
          </w:p>
          <w:p w14:paraId="303A331F" w14:textId="77777777" w:rsidR="004E7D69" w:rsidRDefault="004E7D69">
            <w:pPr>
              <w:rPr>
                <w:rFonts w:ascii="Times New Roman" w:eastAsia="Times New Roman" w:hAnsi="Times New Roman" w:cs="Times New Roman"/>
                <w:sz w:val="21"/>
                <w:szCs w:val="21"/>
              </w:rPr>
            </w:pPr>
          </w:p>
          <w:p w14:paraId="43C80128" w14:textId="77777777" w:rsidR="004E7D69" w:rsidRDefault="00AA4EE0">
            <w:pPr>
              <w:numPr>
                <w:ilvl w:val="0"/>
                <w:numId w:val="16"/>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Government recently enacted the Prevention of </w:t>
            </w:r>
            <w:r>
              <w:rPr>
                <w:rFonts w:ascii="Times New Roman" w:eastAsia="Times New Roman" w:hAnsi="Times New Roman" w:cs="Times New Roman"/>
                <w:sz w:val="21"/>
                <w:szCs w:val="21"/>
              </w:rPr>
              <w:lastRenderedPageBreak/>
              <w:t>Online Falsehoods and Manipulation Act (POFMA) which is ostensibly aimed at "fake news" but</w:t>
            </w:r>
            <w:r>
              <w:rPr>
                <w:rFonts w:ascii="Times New Roman" w:eastAsia="Times New Roman" w:hAnsi="Times New Roman" w:cs="Times New Roman"/>
                <w:sz w:val="21"/>
                <w:szCs w:val="21"/>
              </w:rPr>
              <w:t xml:space="preserve"> lacks safeguards against abuse by the Government. </w:t>
            </w:r>
          </w:p>
          <w:p w14:paraId="6AE12DA6" w14:textId="77777777" w:rsidR="004E7D69" w:rsidRDefault="004E7D69">
            <w:pPr>
              <w:ind w:left="720"/>
              <w:rPr>
                <w:rFonts w:ascii="Times New Roman" w:eastAsia="Times New Roman" w:hAnsi="Times New Roman" w:cs="Times New Roman"/>
                <w:sz w:val="21"/>
                <w:szCs w:val="21"/>
              </w:rPr>
            </w:pPr>
          </w:p>
          <w:p w14:paraId="5BA13C81" w14:textId="77777777" w:rsidR="004E7D69" w:rsidRDefault="00AA4EE0">
            <w:pPr>
              <w:numPr>
                <w:ilvl w:val="0"/>
                <w:numId w:val="16"/>
              </w:numP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vertAlign w:val="superscript"/>
              </w:rPr>
              <w:footnoteReference w:id="9"/>
            </w:r>
            <w:r>
              <w:rPr>
                <w:rFonts w:ascii="Times New Roman" w:eastAsia="Times New Roman" w:hAnsi="Times New Roman" w:cs="Times New Roman"/>
                <w:i/>
                <w:color w:val="0000FF"/>
                <w:sz w:val="21"/>
                <w:szCs w:val="21"/>
              </w:rPr>
              <w:t>On 23 March 2021, Prime Minister Lee Hsien Loong won a defamation suit against blogger Mr Leong Sze Hian, with the Singapore high court awarding the Prime Minister S$133,000 in damages.</w:t>
            </w:r>
            <w:r>
              <w:rPr>
                <w:rFonts w:ascii="Times New Roman" w:eastAsia="Times New Roman" w:hAnsi="Times New Roman" w:cs="Times New Roman"/>
                <w:i/>
                <w:color w:val="0000FF"/>
                <w:sz w:val="21"/>
                <w:szCs w:val="21"/>
                <w:vertAlign w:val="superscript"/>
              </w:rPr>
              <w:footnoteReference w:id="10"/>
            </w:r>
          </w:p>
          <w:p w14:paraId="539AFCCD" w14:textId="77777777" w:rsidR="004E7D69" w:rsidRDefault="00AA4EE0">
            <w:pPr>
              <w:numPr>
                <w:ilvl w:val="1"/>
                <w:numId w:val="16"/>
              </w:numPr>
              <w:rPr>
                <w:rFonts w:ascii="Times New Roman" w:eastAsia="Times New Roman" w:hAnsi="Times New Roman" w:cs="Times New Roman"/>
                <w:color w:val="0000FF"/>
                <w:sz w:val="21"/>
                <w:szCs w:val="21"/>
              </w:rPr>
            </w:pPr>
            <w:r>
              <w:rPr>
                <w:rFonts w:ascii="Times New Roman" w:eastAsia="Times New Roman" w:hAnsi="Times New Roman" w:cs="Times New Roman"/>
                <w:i/>
                <w:color w:val="0000FF"/>
                <w:sz w:val="21"/>
                <w:szCs w:val="21"/>
              </w:rPr>
              <w:t xml:space="preserve"> It is notable that Mr Leong was the only person with a suit launche</w:t>
            </w:r>
            <w:r>
              <w:rPr>
                <w:rFonts w:ascii="Times New Roman" w:eastAsia="Times New Roman" w:hAnsi="Times New Roman" w:cs="Times New Roman"/>
                <w:i/>
                <w:color w:val="0000FF"/>
                <w:sz w:val="21"/>
                <w:szCs w:val="21"/>
              </w:rPr>
              <w:t>d against him by the Prime Minister, despite “thousands” of others who had shared the same article that eventually led to the suit against him.</w:t>
            </w:r>
          </w:p>
          <w:p w14:paraId="7BE11970" w14:textId="77777777" w:rsidR="004E7D69" w:rsidRDefault="00AA4EE0">
            <w:pPr>
              <w:numPr>
                <w:ilvl w:val="1"/>
                <w:numId w:val="16"/>
              </w:numPr>
              <w:rPr>
                <w:rFonts w:ascii="Times New Roman" w:eastAsia="Times New Roman" w:hAnsi="Times New Roman" w:cs="Times New Roman"/>
                <w:color w:val="0000FF"/>
                <w:sz w:val="21"/>
                <w:szCs w:val="21"/>
              </w:rPr>
            </w:pPr>
            <w:r>
              <w:rPr>
                <w:rFonts w:ascii="Times New Roman" w:eastAsia="Times New Roman" w:hAnsi="Times New Roman" w:cs="Times New Roman"/>
                <w:i/>
                <w:color w:val="0000FF"/>
                <w:sz w:val="21"/>
                <w:szCs w:val="21"/>
              </w:rPr>
              <w:lastRenderedPageBreak/>
              <w:t>This is also in addition to how Mr Leong had in fact complied prior to the Info-Communications Media Development</w:t>
            </w:r>
            <w:r>
              <w:rPr>
                <w:rFonts w:ascii="Times New Roman" w:eastAsia="Times New Roman" w:hAnsi="Times New Roman" w:cs="Times New Roman"/>
                <w:i/>
                <w:color w:val="0000FF"/>
                <w:sz w:val="21"/>
                <w:szCs w:val="21"/>
              </w:rPr>
              <w:t xml:space="preserve"> Authority (IMDA) telling him to remove the link he shared</w:t>
            </w:r>
            <w:r>
              <w:rPr>
                <w:rFonts w:ascii="Times New Roman" w:eastAsia="Times New Roman" w:hAnsi="Times New Roman" w:cs="Times New Roman"/>
                <w:color w:val="0000FF"/>
                <w:sz w:val="21"/>
                <w:szCs w:val="21"/>
                <w:vertAlign w:val="superscript"/>
              </w:rPr>
              <w:footnoteReference w:id="11"/>
            </w:r>
            <w:r>
              <w:rPr>
                <w:rFonts w:ascii="Times New Roman" w:eastAsia="Times New Roman" w:hAnsi="Times New Roman" w:cs="Times New Roman"/>
                <w:color w:val="FF0000"/>
                <w:sz w:val="21"/>
                <w:szCs w:val="21"/>
              </w:rPr>
              <w:t xml:space="preserve">. </w:t>
            </w:r>
          </w:p>
          <w:p w14:paraId="0599DD25" w14:textId="77777777" w:rsidR="004E7D69" w:rsidRDefault="004E7D69">
            <w:pPr>
              <w:widowControl w:val="0"/>
              <w:spacing w:line="240" w:lineRule="auto"/>
              <w:rPr>
                <w:rFonts w:ascii="Times New Roman" w:eastAsia="Times New Roman" w:hAnsi="Times New Roman" w:cs="Times New Roman"/>
                <w:sz w:val="21"/>
                <w:szCs w:val="21"/>
              </w:rPr>
            </w:pPr>
          </w:p>
        </w:tc>
        <w:tc>
          <w:tcPr>
            <w:tcW w:w="3360" w:type="dxa"/>
            <w:shd w:val="clear" w:color="auto" w:fill="auto"/>
            <w:tcMar>
              <w:top w:w="100" w:type="dxa"/>
              <w:left w:w="100" w:type="dxa"/>
              <w:bottom w:w="100" w:type="dxa"/>
              <w:right w:w="100" w:type="dxa"/>
            </w:tcMar>
          </w:tcPr>
          <w:p w14:paraId="7AC586DD" w14:textId="77777777" w:rsidR="004E7D69" w:rsidRDefault="00AA4EE0">
            <w:pPr>
              <w:numPr>
                <w:ilvl w:val="0"/>
                <w:numId w:val="20"/>
              </w:num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Amend section 78B of the Parliamentary Elections Act such that violations of the restrictions on election advertising are no longer arrestable offenses, so as to stop the use of warrantless se</w:t>
            </w:r>
            <w:r>
              <w:rPr>
                <w:rFonts w:ascii="Times New Roman" w:eastAsia="Times New Roman" w:hAnsi="Times New Roman" w:cs="Times New Roman"/>
                <w:sz w:val="21"/>
                <w:szCs w:val="21"/>
              </w:rPr>
              <w:t>arch, arrest and seizure</w:t>
            </w:r>
          </w:p>
          <w:p w14:paraId="06D3D5DB" w14:textId="77777777" w:rsidR="004E7D69" w:rsidRDefault="004E7D69">
            <w:pPr>
              <w:ind w:left="720"/>
              <w:rPr>
                <w:rFonts w:ascii="Times New Roman" w:eastAsia="Times New Roman" w:hAnsi="Times New Roman" w:cs="Times New Roman"/>
                <w:sz w:val="21"/>
                <w:szCs w:val="21"/>
              </w:rPr>
            </w:pPr>
          </w:p>
          <w:p w14:paraId="07BFF8EC" w14:textId="77777777" w:rsidR="004E7D69" w:rsidRDefault="00AA4EE0">
            <w:pPr>
              <w:numPr>
                <w:ilvl w:val="0"/>
                <w:numId w:val="20"/>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Section 78B(2) should be </w:t>
            </w:r>
          </w:p>
          <w:p w14:paraId="6ABD1859" w14:textId="77777777" w:rsidR="004E7D69" w:rsidRDefault="00AA4EE0">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amended to allow online news sites to publish news about an election during the cooling off period, just as how newspapers covered by the Newspaper and Printing Presses Act are permitted to do.</w:t>
            </w:r>
          </w:p>
          <w:p w14:paraId="735C0B62" w14:textId="77777777" w:rsidR="004E7D69" w:rsidRDefault="004E7D69">
            <w:pPr>
              <w:ind w:left="720"/>
              <w:rPr>
                <w:rFonts w:ascii="Times New Roman" w:eastAsia="Times New Roman" w:hAnsi="Times New Roman" w:cs="Times New Roman"/>
                <w:sz w:val="21"/>
                <w:szCs w:val="21"/>
              </w:rPr>
            </w:pPr>
          </w:p>
          <w:p w14:paraId="2D2DB4E0" w14:textId="77777777" w:rsidR="004E7D69" w:rsidRDefault="00AA4EE0">
            <w:pPr>
              <w:numPr>
                <w:ilvl w:val="0"/>
                <w:numId w:val="20"/>
              </w:numPr>
              <w:rPr>
                <w:rFonts w:ascii="Times New Roman" w:eastAsia="Times New Roman" w:hAnsi="Times New Roman" w:cs="Times New Roman"/>
                <w:sz w:val="21"/>
                <w:szCs w:val="21"/>
              </w:rPr>
            </w:pPr>
            <w:r>
              <w:rPr>
                <w:rFonts w:ascii="Times New Roman" w:eastAsia="Times New Roman" w:hAnsi="Times New Roman" w:cs="Times New Roman"/>
                <w:sz w:val="21"/>
                <w:szCs w:val="21"/>
              </w:rPr>
              <w:t>Authorities should also improve their engagement with responsible online news outlets; for instance, by responding to their queries.</w:t>
            </w:r>
          </w:p>
        </w:tc>
        <w:tc>
          <w:tcPr>
            <w:tcW w:w="3675" w:type="dxa"/>
            <w:shd w:val="clear" w:color="auto" w:fill="auto"/>
            <w:tcMar>
              <w:top w:w="100" w:type="dxa"/>
              <w:left w:w="100" w:type="dxa"/>
              <w:bottom w:w="100" w:type="dxa"/>
              <w:right w:w="100" w:type="dxa"/>
            </w:tcMar>
          </w:tcPr>
          <w:p w14:paraId="4D80BC08" w14:textId="77777777" w:rsidR="004E7D69" w:rsidRDefault="00AA4EE0">
            <w:pPr>
              <w:numPr>
                <w:ilvl w:val="0"/>
                <w:numId w:val="20"/>
              </w:num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We reiterate our stance that </w:t>
            </w:r>
            <w:r>
              <w:rPr>
                <w:rFonts w:ascii="Times New Roman" w:eastAsia="Times New Roman" w:hAnsi="Times New Roman" w:cs="Times New Roman"/>
                <w:color w:val="FF0000"/>
                <w:sz w:val="21"/>
                <w:szCs w:val="21"/>
              </w:rPr>
              <w:t xml:space="preserve">Parliamentarians and Ministers </w:t>
            </w:r>
            <w:r>
              <w:rPr>
                <w:rFonts w:ascii="Times New Roman" w:eastAsia="Times New Roman" w:hAnsi="Times New Roman" w:cs="Times New Roman"/>
                <w:sz w:val="21"/>
                <w:szCs w:val="21"/>
              </w:rPr>
              <w:t xml:space="preserve">ought to respect and have regard </w:t>
            </w:r>
            <w:r>
              <w:rPr>
                <w:rFonts w:ascii="Times New Roman" w:eastAsia="Times New Roman" w:hAnsi="Times New Roman" w:cs="Times New Roman"/>
                <w:color w:val="FF0000"/>
                <w:sz w:val="21"/>
                <w:szCs w:val="21"/>
              </w:rPr>
              <w:t>for freedom of expression</w:t>
            </w:r>
            <w:r>
              <w:rPr>
                <w:rFonts w:ascii="Times New Roman" w:eastAsia="Times New Roman" w:hAnsi="Times New Roman" w:cs="Times New Roman"/>
                <w:sz w:val="21"/>
                <w:szCs w:val="21"/>
              </w:rPr>
              <w:t xml:space="preserve"> by d</w:t>
            </w:r>
            <w:r>
              <w:rPr>
                <w:rFonts w:ascii="Times New Roman" w:eastAsia="Times New Roman" w:hAnsi="Times New Roman" w:cs="Times New Roman"/>
                <w:sz w:val="21"/>
                <w:szCs w:val="21"/>
              </w:rPr>
              <w:t>ifferent communities in Singapore.</w:t>
            </w:r>
          </w:p>
          <w:p w14:paraId="5EBA63C2" w14:textId="77777777" w:rsidR="004E7D69" w:rsidRDefault="004E7D69">
            <w:pPr>
              <w:rPr>
                <w:rFonts w:ascii="Times New Roman" w:eastAsia="Times New Roman" w:hAnsi="Times New Roman" w:cs="Times New Roman"/>
                <w:sz w:val="21"/>
                <w:szCs w:val="21"/>
              </w:rPr>
            </w:pPr>
          </w:p>
          <w:p w14:paraId="2F91F60D" w14:textId="77777777" w:rsidR="004E7D69" w:rsidRDefault="00AA4EE0">
            <w:pPr>
              <w:numPr>
                <w:ilvl w:val="0"/>
                <w:numId w:val="5"/>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continue to recommend that all stakeholders have more </w:t>
            </w:r>
            <w:r>
              <w:rPr>
                <w:rFonts w:ascii="Times New Roman" w:eastAsia="Times New Roman" w:hAnsi="Times New Roman" w:cs="Times New Roman"/>
                <w:color w:val="FF0000"/>
                <w:sz w:val="21"/>
                <w:szCs w:val="21"/>
              </w:rPr>
              <w:t xml:space="preserve">capacity building </w:t>
            </w:r>
            <w:r>
              <w:rPr>
                <w:rFonts w:ascii="Times New Roman" w:eastAsia="Times New Roman" w:hAnsi="Times New Roman" w:cs="Times New Roman"/>
                <w:sz w:val="21"/>
                <w:szCs w:val="21"/>
              </w:rPr>
              <w:t xml:space="preserve">on negotiation </w:t>
            </w:r>
            <w:r>
              <w:rPr>
                <w:rFonts w:ascii="Times New Roman" w:eastAsia="Times New Roman" w:hAnsi="Times New Roman" w:cs="Times New Roman"/>
                <w:sz w:val="21"/>
                <w:szCs w:val="21"/>
              </w:rPr>
              <w:lastRenderedPageBreak/>
              <w:t>and formalised human rights education.</w:t>
            </w:r>
          </w:p>
          <w:p w14:paraId="0D990BC5" w14:textId="77777777" w:rsidR="004E7D69" w:rsidRDefault="004E7D69">
            <w:pPr>
              <w:rPr>
                <w:rFonts w:ascii="Times New Roman" w:eastAsia="Times New Roman" w:hAnsi="Times New Roman" w:cs="Times New Roman"/>
                <w:sz w:val="21"/>
                <w:szCs w:val="21"/>
              </w:rPr>
            </w:pPr>
          </w:p>
        </w:tc>
      </w:tr>
    </w:tbl>
    <w:p w14:paraId="1DE746E0" w14:textId="77777777" w:rsidR="004E7D69" w:rsidRDefault="004E7D69">
      <w:pPr>
        <w:rPr>
          <w:rFonts w:ascii="Times New Roman" w:eastAsia="Times New Roman" w:hAnsi="Times New Roman" w:cs="Times New Roman"/>
          <w:sz w:val="21"/>
          <w:szCs w:val="21"/>
        </w:rPr>
      </w:pPr>
    </w:p>
    <w:p w14:paraId="4C96CD13" w14:textId="77777777" w:rsidR="004E7D69" w:rsidRDefault="004E7D69">
      <w:pPr>
        <w:rPr>
          <w:rFonts w:ascii="Times New Roman" w:eastAsia="Times New Roman" w:hAnsi="Times New Roman" w:cs="Times New Roman"/>
          <w:sz w:val="21"/>
          <w:szCs w:val="21"/>
        </w:rPr>
      </w:pPr>
    </w:p>
    <w:tbl>
      <w:tblPr>
        <w:tblStyle w:val="a2"/>
        <w:tblW w:w="1630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010"/>
        <w:gridCol w:w="1635"/>
        <w:gridCol w:w="3510"/>
        <w:gridCol w:w="3360"/>
        <w:gridCol w:w="3690"/>
      </w:tblGrid>
      <w:tr w:rsidR="004E7D69" w14:paraId="7394808C" w14:textId="77777777">
        <w:tc>
          <w:tcPr>
            <w:tcW w:w="2100" w:type="dxa"/>
            <w:shd w:val="clear" w:color="auto" w:fill="A4C2F4"/>
            <w:tcMar>
              <w:top w:w="100" w:type="dxa"/>
              <w:left w:w="100" w:type="dxa"/>
              <w:bottom w:w="100" w:type="dxa"/>
              <w:right w:w="100" w:type="dxa"/>
            </w:tcMar>
          </w:tcPr>
          <w:p w14:paraId="5046399A"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2010" w:type="dxa"/>
            <w:shd w:val="clear" w:color="auto" w:fill="A4C2F4"/>
            <w:tcMar>
              <w:top w:w="100" w:type="dxa"/>
              <w:left w:w="100" w:type="dxa"/>
              <w:bottom w:w="100" w:type="dxa"/>
              <w:right w:w="100" w:type="dxa"/>
            </w:tcMar>
          </w:tcPr>
          <w:p w14:paraId="311CB1C5"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635" w:type="dxa"/>
            <w:shd w:val="clear" w:color="auto" w:fill="A4C2F4"/>
            <w:tcMar>
              <w:top w:w="100" w:type="dxa"/>
              <w:left w:w="100" w:type="dxa"/>
              <w:bottom w:w="100" w:type="dxa"/>
              <w:right w:w="100" w:type="dxa"/>
            </w:tcMar>
          </w:tcPr>
          <w:p w14:paraId="34DCB0D4"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510" w:type="dxa"/>
            <w:shd w:val="clear" w:color="auto" w:fill="A4C2F4"/>
            <w:tcMar>
              <w:top w:w="100" w:type="dxa"/>
              <w:left w:w="100" w:type="dxa"/>
              <w:bottom w:w="100" w:type="dxa"/>
              <w:right w:w="100" w:type="dxa"/>
            </w:tcMar>
          </w:tcPr>
          <w:p w14:paraId="11787BD3"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360" w:type="dxa"/>
            <w:shd w:val="clear" w:color="auto" w:fill="A4C2F4"/>
            <w:tcMar>
              <w:top w:w="100" w:type="dxa"/>
              <w:left w:w="100" w:type="dxa"/>
              <w:bottom w:w="100" w:type="dxa"/>
              <w:right w:w="100" w:type="dxa"/>
            </w:tcMar>
          </w:tcPr>
          <w:p w14:paraId="56331A14"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p w14:paraId="017C5599" w14:textId="77777777" w:rsidR="004E7D69" w:rsidRDefault="004E7D69">
            <w:pPr>
              <w:widowControl w:val="0"/>
              <w:spacing w:line="240" w:lineRule="auto"/>
              <w:rPr>
                <w:rFonts w:ascii="Times New Roman" w:eastAsia="Times New Roman" w:hAnsi="Times New Roman" w:cs="Times New Roman"/>
                <w:b/>
                <w:sz w:val="21"/>
                <w:szCs w:val="21"/>
              </w:rPr>
            </w:pPr>
          </w:p>
        </w:tc>
        <w:tc>
          <w:tcPr>
            <w:tcW w:w="3690" w:type="dxa"/>
            <w:shd w:val="clear" w:color="auto" w:fill="A4C2F4"/>
            <w:tcMar>
              <w:top w:w="100" w:type="dxa"/>
              <w:left w:w="100" w:type="dxa"/>
              <w:bottom w:w="100" w:type="dxa"/>
              <w:right w:w="100" w:type="dxa"/>
            </w:tcMar>
          </w:tcPr>
          <w:p w14:paraId="19EC8A61" w14:textId="77777777" w:rsidR="004E7D69" w:rsidRDefault="00AA4EE0">
            <w:pPr>
              <w:widowControl w:val="0"/>
              <w:spacing w:line="240" w:lineRule="auto"/>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Recommendation for Third Cycle </w:t>
            </w:r>
          </w:p>
          <w:p w14:paraId="22855CC5" w14:textId="77777777" w:rsidR="004E7D69" w:rsidRDefault="004E7D69">
            <w:pPr>
              <w:widowControl w:val="0"/>
              <w:spacing w:line="240" w:lineRule="auto"/>
              <w:rPr>
                <w:rFonts w:ascii="Times New Roman" w:eastAsia="Times New Roman" w:hAnsi="Times New Roman" w:cs="Times New Roman"/>
                <w:b/>
                <w:sz w:val="21"/>
                <w:szCs w:val="21"/>
              </w:rPr>
            </w:pPr>
          </w:p>
          <w:p w14:paraId="7144B303"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60A2CA83" w14:textId="77777777">
        <w:trPr>
          <w:trHeight w:val="420"/>
        </w:trPr>
        <w:tc>
          <w:tcPr>
            <w:tcW w:w="16305" w:type="dxa"/>
            <w:gridSpan w:val="6"/>
            <w:shd w:val="clear" w:color="auto" w:fill="D9E7FF"/>
            <w:tcMar>
              <w:top w:w="100" w:type="dxa"/>
              <w:left w:w="100" w:type="dxa"/>
              <w:bottom w:w="100" w:type="dxa"/>
              <w:right w:w="100" w:type="dxa"/>
            </w:tcMar>
          </w:tcPr>
          <w:p w14:paraId="2314663C"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D44 Right to peaceful assembly</w:t>
            </w:r>
          </w:p>
        </w:tc>
      </w:tr>
      <w:tr w:rsidR="004E7D69" w14:paraId="30480F69" w14:textId="77777777">
        <w:trPr>
          <w:trHeight w:val="447"/>
        </w:trPr>
        <w:tc>
          <w:tcPr>
            <w:tcW w:w="2100" w:type="dxa"/>
            <w:shd w:val="clear" w:color="auto" w:fill="auto"/>
            <w:tcMar>
              <w:top w:w="100" w:type="dxa"/>
              <w:left w:w="100" w:type="dxa"/>
              <w:bottom w:w="100" w:type="dxa"/>
              <w:right w:w="100" w:type="dxa"/>
            </w:tcMar>
          </w:tcPr>
          <w:p w14:paraId="603FDEB3"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166.201 Ensure freedom of assembly and association, freedom of opinion and expression, including on the Internet, and protect </w:t>
            </w:r>
            <w:r>
              <w:rPr>
                <w:rFonts w:ascii="Times New Roman" w:eastAsia="Times New Roman" w:hAnsi="Times New Roman" w:cs="Times New Roman"/>
                <w:sz w:val="21"/>
                <w:szCs w:val="21"/>
              </w:rPr>
              <w:lastRenderedPageBreak/>
              <w:t xml:space="preserve">freedom of the press (France); </w:t>
            </w:r>
          </w:p>
          <w:p w14:paraId="0D4F7470"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 </w:t>
            </w:r>
          </w:p>
        </w:tc>
        <w:tc>
          <w:tcPr>
            <w:tcW w:w="2010" w:type="dxa"/>
            <w:shd w:val="clear" w:color="auto" w:fill="auto"/>
            <w:tcMar>
              <w:top w:w="100" w:type="dxa"/>
              <w:left w:w="100" w:type="dxa"/>
              <w:bottom w:w="100" w:type="dxa"/>
              <w:right w:w="100" w:type="dxa"/>
            </w:tcMar>
          </w:tcPr>
          <w:p w14:paraId="3C32A662"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D44 Right to peaceful assembly</w:t>
            </w:r>
          </w:p>
          <w:p w14:paraId="7E25D231"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D45 Freedom of association</w:t>
            </w:r>
          </w:p>
          <w:p w14:paraId="0BFDA4C7"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w:t>
            </w:r>
            <w:r>
              <w:rPr>
                <w:rFonts w:ascii="Times New Roman" w:eastAsia="Times New Roman" w:hAnsi="Times New Roman" w:cs="Times New Roman"/>
                <w:sz w:val="21"/>
                <w:szCs w:val="21"/>
              </w:rPr>
              <w:t>43 Freedom of opinion and expression</w:t>
            </w:r>
          </w:p>
          <w:p w14:paraId="1CA72D41"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547FCA9D"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general</w:t>
            </w:r>
          </w:p>
        </w:tc>
        <w:tc>
          <w:tcPr>
            <w:tcW w:w="1635" w:type="dxa"/>
            <w:tcBorders>
              <w:bottom w:val="single" w:sz="4" w:space="0" w:color="000000"/>
            </w:tcBorders>
            <w:shd w:val="clear" w:color="auto" w:fill="auto"/>
          </w:tcPr>
          <w:p w14:paraId="458CC51F"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Supported </w:t>
            </w:r>
          </w:p>
        </w:tc>
        <w:tc>
          <w:tcPr>
            <w:tcW w:w="3510" w:type="dxa"/>
            <w:shd w:val="clear" w:color="auto" w:fill="auto"/>
            <w:tcMar>
              <w:top w:w="100" w:type="dxa"/>
              <w:left w:w="100" w:type="dxa"/>
              <w:bottom w:w="100" w:type="dxa"/>
              <w:right w:w="100" w:type="dxa"/>
            </w:tcMar>
          </w:tcPr>
          <w:p w14:paraId="4473192B" w14:textId="77777777" w:rsidR="004E7D69" w:rsidRDefault="00AA4EE0">
            <w:pPr>
              <w:numPr>
                <w:ilvl w:val="0"/>
                <w:numId w:val="14"/>
              </w:numPr>
              <w:rPr>
                <w:rFonts w:ascii="Times New Roman" w:eastAsia="Times New Roman" w:hAnsi="Times New Roman" w:cs="Times New Roman"/>
                <w:sz w:val="21"/>
                <w:szCs w:val="21"/>
              </w:rPr>
            </w:pPr>
            <w:r>
              <w:rPr>
                <w:rFonts w:ascii="Times New Roman" w:eastAsia="Times New Roman" w:hAnsi="Times New Roman" w:cs="Times New Roman"/>
                <w:sz w:val="21"/>
                <w:szCs w:val="21"/>
              </w:rPr>
              <w:t>A programme titled “Dissent and Resistance in Singapore” slated programme at Yale-NUS College, was abruptly cancelled in September 2019.</w:t>
            </w:r>
            <w:r>
              <w:rPr>
                <w:rFonts w:ascii="Times New Roman" w:eastAsia="Times New Roman" w:hAnsi="Times New Roman" w:cs="Times New Roman"/>
                <w:sz w:val="21"/>
                <w:szCs w:val="21"/>
                <w:vertAlign w:val="superscript"/>
              </w:rPr>
              <w:footnoteReference w:id="12"/>
            </w:r>
            <w:r>
              <w:rPr>
                <w:rFonts w:ascii="Times New Roman" w:eastAsia="Times New Roman" w:hAnsi="Times New Roman" w:cs="Times New Roman"/>
                <w:sz w:val="21"/>
                <w:szCs w:val="21"/>
                <w:vertAlign w:val="superscript"/>
              </w:rPr>
              <w:t xml:space="preserve"> </w:t>
            </w:r>
          </w:p>
          <w:p w14:paraId="0E995779" w14:textId="77777777" w:rsidR="004E7D69" w:rsidRDefault="004E7D69">
            <w:pPr>
              <w:rPr>
                <w:rFonts w:ascii="Times New Roman" w:eastAsia="Times New Roman" w:hAnsi="Times New Roman" w:cs="Times New Roman"/>
                <w:sz w:val="21"/>
                <w:szCs w:val="21"/>
                <w:vertAlign w:val="superscript"/>
              </w:rPr>
            </w:pPr>
          </w:p>
          <w:p w14:paraId="2BBD700F" w14:textId="77777777" w:rsidR="004E7D69" w:rsidRDefault="004E7D69">
            <w:pPr>
              <w:rPr>
                <w:rFonts w:ascii="Times New Roman" w:eastAsia="Times New Roman" w:hAnsi="Times New Roman" w:cs="Times New Roman"/>
                <w:b/>
                <w:sz w:val="21"/>
                <w:szCs w:val="21"/>
              </w:rPr>
            </w:pPr>
          </w:p>
          <w:p w14:paraId="1D80C4A5" w14:textId="77777777" w:rsidR="004E7D69" w:rsidRDefault="00AA4EE0">
            <w:pPr>
              <w:numPr>
                <w:ilvl w:val="0"/>
                <w:numId w:val="13"/>
              </w:numPr>
              <w:rPr>
                <w:rFonts w:ascii="Times New Roman" w:eastAsia="Times New Roman" w:hAnsi="Times New Roman" w:cs="Times New Roman"/>
                <w:color w:val="0000FF"/>
                <w:sz w:val="21"/>
                <w:szCs w:val="21"/>
              </w:rPr>
            </w:pPr>
            <w:r>
              <w:rPr>
                <w:rFonts w:ascii="Times New Roman" w:eastAsia="Times New Roman" w:hAnsi="Times New Roman" w:cs="Times New Roman"/>
                <w:i/>
                <w:color w:val="0000FF"/>
                <w:sz w:val="21"/>
                <w:szCs w:val="21"/>
              </w:rPr>
              <w:t>Three students were arrested on 26 January 2021  for holding placards protesting against transphobia in Singapore schools</w:t>
            </w:r>
            <w:r>
              <w:rPr>
                <w:rFonts w:ascii="Times New Roman" w:eastAsia="Times New Roman" w:hAnsi="Times New Roman" w:cs="Times New Roman"/>
                <w:i/>
                <w:color w:val="0000FF"/>
                <w:sz w:val="21"/>
                <w:szCs w:val="21"/>
                <w:vertAlign w:val="superscript"/>
              </w:rPr>
              <w:footnoteReference w:id="13"/>
            </w:r>
            <w:r>
              <w:rPr>
                <w:rFonts w:ascii="Times New Roman" w:eastAsia="Times New Roman" w:hAnsi="Times New Roman" w:cs="Times New Roman"/>
                <w:i/>
                <w:color w:val="0000FF"/>
                <w:sz w:val="21"/>
                <w:szCs w:val="21"/>
              </w:rPr>
              <w:t xml:space="preserve">. </w:t>
            </w:r>
          </w:p>
          <w:p w14:paraId="7004B592" w14:textId="77777777" w:rsidR="004E7D69" w:rsidRDefault="004E7D69">
            <w:pPr>
              <w:ind w:left="720"/>
              <w:rPr>
                <w:rFonts w:ascii="Times New Roman" w:eastAsia="Times New Roman" w:hAnsi="Times New Roman" w:cs="Times New Roman"/>
                <w:i/>
                <w:color w:val="0000FF"/>
                <w:sz w:val="21"/>
                <w:szCs w:val="21"/>
              </w:rPr>
            </w:pPr>
          </w:p>
          <w:p w14:paraId="7FB694C0" w14:textId="77777777" w:rsidR="004E7D69" w:rsidRDefault="00AA4EE0">
            <w:pPr>
              <w:numPr>
                <w:ilvl w:val="0"/>
                <w:numId w:val="13"/>
              </w:numPr>
              <w:rPr>
                <w:rFonts w:ascii="Times New Roman" w:eastAsia="Times New Roman" w:hAnsi="Times New Roman" w:cs="Times New Roman"/>
                <w:color w:val="0000FF"/>
                <w:sz w:val="21"/>
                <w:szCs w:val="21"/>
              </w:rPr>
            </w:pPr>
            <w:r>
              <w:rPr>
                <w:rFonts w:ascii="Times New Roman" w:eastAsia="Times New Roman" w:hAnsi="Times New Roman" w:cs="Times New Roman"/>
                <w:i/>
                <w:color w:val="0000FF"/>
                <w:sz w:val="21"/>
                <w:szCs w:val="21"/>
              </w:rPr>
              <w:t>Activist Jolovan Wham was fined S$8000 for holding a protest on an MRT train which consisted of eight Singaporeans wearing blindf</w:t>
            </w:r>
            <w:r>
              <w:rPr>
                <w:rFonts w:ascii="Times New Roman" w:eastAsia="Times New Roman" w:hAnsi="Times New Roman" w:cs="Times New Roman"/>
                <w:i/>
                <w:color w:val="0000FF"/>
                <w:sz w:val="21"/>
                <w:szCs w:val="21"/>
              </w:rPr>
              <w:t>olds and holding up the book “1987: Singapore’s Marxist Conspiracy 30 years on”, of which he chose to serve a jail term rather than paying the full amount</w:t>
            </w:r>
            <w:r>
              <w:rPr>
                <w:rFonts w:ascii="Times New Roman" w:eastAsia="Times New Roman" w:hAnsi="Times New Roman" w:cs="Times New Roman"/>
                <w:color w:val="0000FF"/>
                <w:sz w:val="21"/>
                <w:szCs w:val="21"/>
                <w:vertAlign w:val="superscript"/>
              </w:rPr>
              <w:footnoteReference w:id="14"/>
            </w:r>
          </w:p>
        </w:tc>
        <w:tc>
          <w:tcPr>
            <w:tcW w:w="3360" w:type="dxa"/>
            <w:shd w:val="clear" w:color="auto" w:fill="auto"/>
            <w:tcMar>
              <w:top w:w="100" w:type="dxa"/>
              <w:left w:w="100" w:type="dxa"/>
              <w:bottom w:w="100" w:type="dxa"/>
              <w:right w:w="100" w:type="dxa"/>
            </w:tcMar>
          </w:tcPr>
          <w:p w14:paraId="1A758D8D" w14:textId="77777777" w:rsidR="004E7D69" w:rsidRDefault="00AA4EE0">
            <w:pPr>
              <w:numPr>
                <w:ilvl w:val="0"/>
                <w:numId w:val="12"/>
              </w:num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While we recognise that some regulation of public assembly and procession is necessary to safeguard</w:t>
            </w:r>
            <w:r>
              <w:rPr>
                <w:rFonts w:ascii="Times New Roman" w:eastAsia="Times New Roman" w:hAnsi="Times New Roman" w:cs="Times New Roman"/>
                <w:sz w:val="21"/>
                <w:szCs w:val="21"/>
              </w:rPr>
              <w:t xml:space="preserve"> public order and safety, the regulatory need should be legitimate and restrictions </w:t>
            </w:r>
            <w:r>
              <w:rPr>
                <w:rFonts w:ascii="Times New Roman" w:eastAsia="Times New Roman" w:hAnsi="Times New Roman" w:cs="Times New Roman"/>
                <w:sz w:val="21"/>
                <w:szCs w:val="21"/>
              </w:rPr>
              <w:lastRenderedPageBreak/>
              <w:t xml:space="preserve">should be compatible with international standards. </w:t>
            </w:r>
          </w:p>
          <w:p w14:paraId="2AC4212E" w14:textId="77777777" w:rsidR="004E7D69" w:rsidRDefault="004E7D69">
            <w:pPr>
              <w:ind w:left="720"/>
              <w:rPr>
                <w:rFonts w:ascii="Times New Roman" w:eastAsia="Times New Roman" w:hAnsi="Times New Roman" w:cs="Times New Roman"/>
                <w:sz w:val="21"/>
                <w:szCs w:val="21"/>
              </w:rPr>
            </w:pPr>
          </w:p>
          <w:p w14:paraId="4139BC13" w14:textId="77777777" w:rsidR="004E7D69" w:rsidRDefault="00AA4EE0">
            <w:pPr>
              <w:numPr>
                <w:ilvl w:val="0"/>
                <w:numId w:val="12"/>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ask that the Public Order Act be amended to uphold the government’s obligation to facilitate peaceful assemblies. </w:t>
            </w:r>
          </w:p>
          <w:p w14:paraId="5EF100FD" w14:textId="77777777" w:rsidR="004E7D69" w:rsidRDefault="004E7D69">
            <w:pPr>
              <w:ind w:left="720"/>
              <w:rPr>
                <w:rFonts w:ascii="Times New Roman" w:eastAsia="Times New Roman" w:hAnsi="Times New Roman" w:cs="Times New Roman"/>
                <w:sz w:val="21"/>
                <w:szCs w:val="21"/>
              </w:rPr>
            </w:pPr>
          </w:p>
          <w:p w14:paraId="5EBFCCD0" w14:textId="77777777" w:rsidR="004E7D69" w:rsidRDefault="00AA4EE0">
            <w:pPr>
              <w:numPr>
                <w:ilvl w:val="0"/>
                <w:numId w:val="12"/>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Specifically, sections 12 and 13 of the act should be amended to limit the discretion of the Minister of Home Affairs to ban public assemblies to instances where the ban is necessary to prevent imminent violence or harm, or serious public disorder. </w:t>
            </w:r>
          </w:p>
          <w:p w14:paraId="7F213EC5" w14:textId="77777777" w:rsidR="004E7D69" w:rsidRDefault="004E7D69">
            <w:pPr>
              <w:ind w:left="720"/>
              <w:rPr>
                <w:rFonts w:ascii="Times New Roman" w:eastAsia="Times New Roman" w:hAnsi="Times New Roman" w:cs="Times New Roman"/>
                <w:sz w:val="21"/>
                <w:szCs w:val="21"/>
              </w:rPr>
            </w:pPr>
          </w:p>
          <w:p w14:paraId="39720B65" w14:textId="77777777" w:rsidR="004E7D69" w:rsidRDefault="00AA4EE0">
            <w:pPr>
              <w:numPr>
                <w:ilvl w:val="0"/>
                <w:numId w:val="12"/>
              </w:numPr>
              <w:rPr>
                <w:rFonts w:ascii="Times New Roman" w:eastAsia="Times New Roman" w:hAnsi="Times New Roman" w:cs="Times New Roman"/>
                <w:sz w:val="21"/>
                <w:szCs w:val="21"/>
              </w:rPr>
            </w:pPr>
            <w:r>
              <w:rPr>
                <w:rFonts w:ascii="Times New Roman" w:eastAsia="Times New Roman" w:hAnsi="Times New Roman" w:cs="Times New Roman"/>
                <w:sz w:val="21"/>
                <w:szCs w:val="21"/>
              </w:rPr>
              <w:t>Crimi</w:t>
            </w:r>
            <w:r>
              <w:rPr>
                <w:rFonts w:ascii="Times New Roman" w:eastAsia="Times New Roman" w:hAnsi="Times New Roman" w:cs="Times New Roman"/>
                <w:sz w:val="21"/>
                <w:szCs w:val="21"/>
              </w:rPr>
              <w:t xml:space="preserve">nal penalties are disproportionate for indiscretions rooted in peaceful assembly. Sections </w:t>
            </w:r>
            <w:r>
              <w:rPr>
                <w:rFonts w:ascii="Times New Roman" w:eastAsia="Times New Roman" w:hAnsi="Times New Roman" w:cs="Times New Roman"/>
                <w:sz w:val="21"/>
                <w:szCs w:val="21"/>
              </w:rPr>
              <w:lastRenderedPageBreak/>
              <w:t>15 and 16 of the act should be repealed to eliminate criminal penalties for organising or participating in peaceful assemblies or processions without a permit or hol</w:t>
            </w:r>
            <w:r>
              <w:rPr>
                <w:rFonts w:ascii="Times New Roman" w:eastAsia="Times New Roman" w:hAnsi="Times New Roman" w:cs="Times New Roman"/>
                <w:sz w:val="21"/>
                <w:szCs w:val="21"/>
              </w:rPr>
              <w:t xml:space="preserve">ding them at a date and time that deviate from the notice. </w:t>
            </w:r>
          </w:p>
          <w:p w14:paraId="672BF708" w14:textId="77777777" w:rsidR="004E7D69" w:rsidRDefault="004E7D69">
            <w:pPr>
              <w:ind w:left="720"/>
              <w:rPr>
                <w:rFonts w:ascii="Times New Roman" w:eastAsia="Times New Roman" w:hAnsi="Times New Roman" w:cs="Times New Roman"/>
                <w:sz w:val="21"/>
                <w:szCs w:val="21"/>
              </w:rPr>
            </w:pPr>
          </w:p>
          <w:p w14:paraId="1CB0E9D7" w14:textId="77777777" w:rsidR="004E7D69" w:rsidRDefault="00AA4EE0">
            <w:pPr>
              <w:numPr>
                <w:ilvl w:val="0"/>
                <w:numId w:val="12"/>
              </w:numPr>
              <w:rPr>
                <w:rFonts w:ascii="Times New Roman" w:eastAsia="Times New Roman" w:hAnsi="Times New Roman" w:cs="Times New Roman"/>
                <w:sz w:val="21"/>
                <w:szCs w:val="21"/>
              </w:rPr>
            </w:pPr>
            <w:r>
              <w:rPr>
                <w:rFonts w:ascii="Times New Roman" w:eastAsia="Times New Roman" w:hAnsi="Times New Roman" w:cs="Times New Roman"/>
                <w:sz w:val="21"/>
                <w:szCs w:val="21"/>
              </w:rPr>
              <w:t>The Public Order (Unrestricted Area) (Amendment) Order 2016 should be amended to eliminate restrictions on participation by non-citizens.</w:t>
            </w:r>
          </w:p>
        </w:tc>
        <w:tc>
          <w:tcPr>
            <w:tcW w:w="3690" w:type="dxa"/>
            <w:shd w:val="clear" w:color="auto" w:fill="auto"/>
            <w:tcMar>
              <w:top w:w="100" w:type="dxa"/>
              <w:left w:w="100" w:type="dxa"/>
              <w:bottom w:w="100" w:type="dxa"/>
              <w:right w:w="100" w:type="dxa"/>
            </w:tcMar>
          </w:tcPr>
          <w:p w14:paraId="4A07A137" w14:textId="77777777" w:rsidR="004E7D69" w:rsidRDefault="00AA4EE0">
            <w:pPr>
              <w:numPr>
                <w:ilvl w:val="0"/>
                <w:numId w:val="12"/>
              </w:num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Parliamentarians and Ministers ought to respect and have </w:t>
            </w:r>
            <w:r>
              <w:rPr>
                <w:rFonts w:ascii="Times New Roman" w:eastAsia="Times New Roman" w:hAnsi="Times New Roman" w:cs="Times New Roman"/>
                <w:sz w:val="21"/>
                <w:szCs w:val="21"/>
              </w:rPr>
              <w:t>regard for freedom of expression by different communities in Singapore.</w:t>
            </w:r>
          </w:p>
          <w:p w14:paraId="21C09918" w14:textId="77777777" w:rsidR="004E7D69" w:rsidRDefault="004E7D69">
            <w:pPr>
              <w:ind w:left="720"/>
              <w:rPr>
                <w:rFonts w:ascii="Times New Roman" w:eastAsia="Times New Roman" w:hAnsi="Times New Roman" w:cs="Times New Roman"/>
                <w:sz w:val="21"/>
                <w:szCs w:val="21"/>
              </w:rPr>
            </w:pPr>
          </w:p>
          <w:p w14:paraId="74BDE696" w14:textId="77777777" w:rsidR="004E7D69" w:rsidRDefault="00AA4EE0">
            <w:pPr>
              <w:numPr>
                <w:ilvl w:val="0"/>
                <w:numId w:val="12"/>
              </w:num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We continue to recommend that </w:t>
            </w:r>
            <w:r>
              <w:rPr>
                <w:rFonts w:ascii="Times New Roman" w:eastAsia="Times New Roman" w:hAnsi="Times New Roman" w:cs="Times New Roman"/>
                <w:color w:val="FF0000"/>
                <w:sz w:val="21"/>
                <w:szCs w:val="21"/>
              </w:rPr>
              <w:t xml:space="preserve">all stakeholders have more capacity building </w:t>
            </w:r>
            <w:r>
              <w:rPr>
                <w:rFonts w:ascii="Times New Roman" w:eastAsia="Times New Roman" w:hAnsi="Times New Roman" w:cs="Times New Roman"/>
                <w:sz w:val="21"/>
                <w:szCs w:val="21"/>
              </w:rPr>
              <w:t>on negotiation and formalised human rights education.</w:t>
            </w:r>
          </w:p>
          <w:p w14:paraId="34440387" w14:textId="77777777" w:rsidR="004E7D69" w:rsidRDefault="004E7D69">
            <w:pPr>
              <w:rPr>
                <w:rFonts w:ascii="Times New Roman" w:eastAsia="Times New Roman" w:hAnsi="Times New Roman" w:cs="Times New Roman"/>
                <w:sz w:val="21"/>
                <w:szCs w:val="21"/>
              </w:rPr>
            </w:pPr>
          </w:p>
        </w:tc>
      </w:tr>
    </w:tbl>
    <w:p w14:paraId="5783FFEB" w14:textId="77777777" w:rsidR="004E7D69" w:rsidRDefault="004E7D69">
      <w:pPr>
        <w:rPr>
          <w:rFonts w:ascii="Times New Roman" w:eastAsia="Times New Roman" w:hAnsi="Times New Roman" w:cs="Times New Roman"/>
          <w:sz w:val="21"/>
          <w:szCs w:val="21"/>
        </w:rPr>
      </w:pPr>
    </w:p>
    <w:p w14:paraId="7DFDACDD" w14:textId="77777777" w:rsidR="004E7D69" w:rsidRDefault="004E7D69">
      <w:pPr>
        <w:rPr>
          <w:rFonts w:ascii="Times New Roman" w:eastAsia="Times New Roman" w:hAnsi="Times New Roman" w:cs="Times New Roman"/>
          <w:sz w:val="21"/>
          <w:szCs w:val="21"/>
        </w:rPr>
      </w:pPr>
    </w:p>
    <w:p w14:paraId="07DD99F7" w14:textId="77777777" w:rsidR="004E7D69" w:rsidRDefault="004E7D69">
      <w:pPr>
        <w:rPr>
          <w:rFonts w:ascii="Times New Roman" w:eastAsia="Times New Roman" w:hAnsi="Times New Roman" w:cs="Times New Roman"/>
          <w:sz w:val="21"/>
          <w:szCs w:val="21"/>
        </w:rPr>
      </w:pPr>
    </w:p>
    <w:p w14:paraId="5B685FFC" w14:textId="77777777" w:rsidR="004E7D69" w:rsidRDefault="004E7D69">
      <w:pPr>
        <w:rPr>
          <w:rFonts w:ascii="Times New Roman" w:eastAsia="Times New Roman" w:hAnsi="Times New Roman" w:cs="Times New Roman"/>
          <w:sz w:val="21"/>
          <w:szCs w:val="21"/>
        </w:rPr>
      </w:pPr>
    </w:p>
    <w:p w14:paraId="4E373CC8" w14:textId="77777777" w:rsidR="004E7D69" w:rsidRDefault="004E7D69">
      <w:pPr>
        <w:rPr>
          <w:rFonts w:ascii="Times New Roman" w:eastAsia="Times New Roman" w:hAnsi="Times New Roman" w:cs="Times New Roman"/>
          <w:sz w:val="21"/>
          <w:szCs w:val="21"/>
        </w:rPr>
      </w:pPr>
    </w:p>
    <w:p w14:paraId="3823B69F" w14:textId="77777777" w:rsidR="004E7D69" w:rsidRDefault="004E7D69">
      <w:pPr>
        <w:rPr>
          <w:rFonts w:ascii="Times New Roman" w:eastAsia="Times New Roman" w:hAnsi="Times New Roman" w:cs="Times New Roman"/>
          <w:sz w:val="21"/>
          <w:szCs w:val="21"/>
        </w:rPr>
      </w:pPr>
    </w:p>
    <w:p w14:paraId="4D21D62A" w14:textId="77777777" w:rsidR="004E7D69" w:rsidRDefault="004E7D69">
      <w:pPr>
        <w:rPr>
          <w:rFonts w:ascii="Times New Roman" w:eastAsia="Times New Roman" w:hAnsi="Times New Roman" w:cs="Times New Roman"/>
          <w:sz w:val="21"/>
          <w:szCs w:val="21"/>
        </w:rPr>
      </w:pPr>
    </w:p>
    <w:p w14:paraId="2621F262" w14:textId="77777777" w:rsidR="004E7D69" w:rsidRDefault="004E7D69">
      <w:pPr>
        <w:rPr>
          <w:rFonts w:ascii="Times New Roman" w:eastAsia="Times New Roman" w:hAnsi="Times New Roman" w:cs="Times New Roman"/>
          <w:sz w:val="21"/>
          <w:szCs w:val="21"/>
        </w:rPr>
      </w:pPr>
    </w:p>
    <w:tbl>
      <w:tblPr>
        <w:tblStyle w:val="a3"/>
        <w:tblW w:w="16200"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175"/>
        <w:gridCol w:w="1890"/>
        <w:gridCol w:w="3510"/>
        <w:gridCol w:w="3375"/>
        <w:gridCol w:w="3150"/>
      </w:tblGrid>
      <w:tr w:rsidR="004E7D69" w14:paraId="1C5C7ADA" w14:textId="77777777">
        <w:tc>
          <w:tcPr>
            <w:tcW w:w="2100" w:type="dxa"/>
            <w:shd w:val="clear" w:color="auto" w:fill="A4C2F4"/>
            <w:tcMar>
              <w:top w:w="100" w:type="dxa"/>
              <w:left w:w="100" w:type="dxa"/>
              <w:bottom w:w="100" w:type="dxa"/>
              <w:right w:w="100" w:type="dxa"/>
            </w:tcMar>
          </w:tcPr>
          <w:p w14:paraId="7F5C6D5E"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2175" w:type="dxa"/>
            <w:shd w:val="clear" w:color="auto" w:fill="A4C2F4"/>
            <w:tcMar>
              <w:top w:w="100" w:type="dxa"/>
              <w:left w:w="100" w:type="dxa"/>
              <w:bottom w:w="100" w:type="dxa"/>
              <w:right w:w="100" w:type="dxa"/>
            </w:tcMar>
          </w:tcPr>
          <w:p w14:paraId="17DCB233"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890" w:type="dxa"/>
            <w:shd w:val="clear" w:color="auto" w:fill="A4C2F4"/>
            <w:tcMar>
              <w:top w:w="100" w:type="dxa"/>
              <w:left w:w="100" w:type="dxa"/>
              <w:bottom w:w="100" w:type="dxa"/>
              <w:right w:w="100" w:type="dxa"/>
            </w:tcMar>
          </w:tcPr>
          <w:p w14:paraId="08AD1C88"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510" w:type="dxa"/>
            <w:shd w:val="clear" w:color="auto" w:fill="A4C2F4"/>
            <w:tcMar>
              <w:top w:w="100" w:type="dxa"/>
              <w:left w:w="100" w:type="dxa"/>
              <w:bottom w:w="100" w:type="dxa"/>
              <w:right w:w="100" w:type="dxa"/>
            </w:tcMar>
          </w:tcPr>
          <w:p w14:paraId="742C4440"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375" w:type="dxa"/>
            <w:shd w:val="clear" w:color="auto" w:fill="A4C2F4"/>
            <w:tcMar>
              <w:top w:w="100" w:type="dxa"/>
              <w:left w:w="100" w:type="dxa"/>
              <w:bottom w:w="100" w:type="dxa"/>
              <w:right w:w="100" w:type="dxa"/>
            </w:tcMar>
          </w:tcPr>
          <w:p w14:paraId="614349F4"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tc>
        <w:tc>
          <w:tcPr>
            <w:tcW w:w="3150" w:type="dxa"/>
            <w:shd w:val="clear" w:color="auto" w:fill="A4C2F4"/>
            <w:tcMar>
              <w:top w:w="100" w:type="dxa"/>
              <w:left w:w="100" w:type="dxa"/>
              <w:bottom w:w="100" w:type="dxa"/>
              <w:right w:w="100" w:type="dxa"/>
            </w:tcMar>
          </w:tcPr>
          <w:p w14:paraId="6D78F579"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color w:val="FF0000"/>
                <w:sz w:val="21"/>
                <w:szCs w:val="21"/>
              </w:rPr>
              <w:t xml:space="preserve">Recommendation for Third Cycle </w:t>
            </w:r>
          </w:p>
          <w:p w14:paraId="546E0902"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4C1A706B" w14:textId="77777777">
        <w:trPr>
          <w:trHeight w:val="420"/>
        </w:trPr>
        <w:tc>
          <w:tcPr>
            <w:tcW w:w="16200" w:type="dxa"/>
            <w:gridSpan w:val="6"/>
            <w:shd w:val="clear" w:color="auto" w:fill="D9E7FF"/>
            <w:tcMar>
              <w:top w:w="100" w:type="dxa"/>
              <w:left w:w="100" w:type="dxa"/>
              <w:bottom w:w="100" w:type="dxa"/>
              <w:right w:w="100" w:type="dxa"/>
            </w:tcMar>
          </w:tcPr>
          <w:p w14:paraId="22E1D0F8"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D7 Right to participation in public affairs and right to vote</w:t>
            </w:r>
          </w:p>
        </w:tc>
      </w:tr>
      <w:tr w:rsidR="004E7D69" w14:paraId="1ED26BEE" w14:textId="77777777">
        <w:trPr>
          <w:trHeight w:val="447"/>
        </w:trPr>
        <w:tc>
          <w:tcPr>
            <w:tcW w:w="2100" w:type="dxa"/>
            <w:shd w:val="clear" w:color="auto" w:fill="auto"/>
            <w:tcMar>
              <w:top w:w="100" w:type="dxa"/>
              <w:left w:w="100" w:type="dxa"/>
              <w:bottom w:w="100" w:type="dxa"/>
              <w:right w:w="100" w:type="dxa"/>
            </w:tcMar>
          </w:tcPr>
          <w:p w14:paraId="2D5786CC"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166.209 Strengthen efforts to promote women’s participation in public life, particularly at the higher corporate levels (Bahamas);</w:t>
            </w:r>
          </w:p>
          <w:p w14:paraId="11DB165B"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w:t>
            </w:r>
          </w:p>
          <w:p w14:paraId="1CF55729" w14:textId="77777777" w:rsidR="004E7D69" w:rsidRDefault="004E7D69">
            <w:pPr>
              <w:spacing w:before="40" w:after="40" w:line="240" w:lineRule="auto"/>
              <w:rPr>
                <w:rFonts w:ascii="Times New Roman" w:eastAsia="Times New Roman" w:hAnsi="Times New Roman" w:cs="Times New Roman"/>
                <w:sz w:val="21"/>
                <w:szCs w:val="21"/>
              </w:rPr>
            </w:pPr>
          </w:p>
        </w:tc>
        <w:tc>
          <w:tcPr>
            <w:tcW w:w="2175" w:type="dxa"/>
            <w:shd w:val="clear" w:color="auto" w:fill="auto"/>
            <w:tcMar>
              <w:top w:w="100" w:type="dxa"/>
              <w:left w:w="100" w:type="dxa"/>
              <w:bottom w:w="100" w:type="dxa"/>
              <w:right w:w="100" w:type="dxa"/>
            </w:tcMar>
          </w:tcPr>
          <w:p w14:paraId="0B1D78EB"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D7 Right to participation in public affairs and right to vote</w:t>
            </w:r>
          </w:p>
          <w:p w14:paraId="04B48B9E"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1D5CE160"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wome</w:t>
            </w:r>
            <w:r>
              <w:rPr>
                <w:rFonts w:ascii="Times New Roman" w:eastAsia="Times New Roman" w:hAnsi="Times New Roman" w:cs="Times New Roman"/>
                <w:sz w:val="21"/>
                <w:szCs w:val="21"/>
              </w:rPr>
              <w:t>n</w:t>
            </w:r>
          </w:p>
        </w:tc>
        <w:tc>
          <w:tcPr>
            <w:tcW w:w="1890" w:type="dxa"/>
            <w:shd w:val="clear" w:color="auto" w:fill="auto"/>
            <w:tcMar>
              <w:top w:w="100" w:type="dxa"/>
              <w:left w:w="100" w:type="dxa"/>
              <w:bottom w:w="100" w:type="dxa"/>
              <w:right w:w="100" w:type="dxa"/>
            </w:tcMar>
          </w:tcPr>
          <w:p w14:paraId="0F3EE377"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Supported </w:t>
            </w:r>
          </w:p>
        </w:tc>
        <w:tc>
          <w:tcPr>
            <w:tcW w:w="3510" w:type="dxa"/>
            <w:shd w:val="clear" w:color="auto" w:fill="auto"/>
            <w:tcMar>
              <w:top w:w="100" w:type="dxa"/>
              <w:left w:w="100" w:type="dxa"/>
              <w:bottom w:w="100" w:type="dxa"/>
              <w:right w:w="100" w:type="dxa"/>
            </w:tcMar>
          </w:tcPr>
          <w:p w14:paraId="7AA8F98F" w14:textId="77777777" w:rsidR="004E7D69" w:rsidRDefault="00AA4EE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Women in Singapore are still under-represented politically</w:t>
            </w:r>
            <w:r>
              <w:rPr>
                <w:rFonts w:ascii="Times New Roman" w:eastAsia="Times New Roman" w:hAnsi="Times New Roman" w:cs="Times New Roman"/>
                <w:sz w:val="21"/>
                <w:szCs w:val="21"/>
                <w:vertAlign w:val="superscript"/>
              </w:rPr>
              <w:footnoteReference w:id="15"/>
            </w:r>
            <w:r>
              <w:rPr>
                <w:rFonts w:ascii="Times New Roman" w:eastAsia="Times New Roman" w:hAnsi="Times New Roman" w:cs="Times New Roman"/>
                <w:sz w:val="21"/>
                <w:szCs w:val="21"/>
              </w:rPr>
              <w:t xml:space="preserve"> and in the workforce</w:t>
            </w:r>
            <w:r>
              <w:rPr>
                <w:rFonts w:ascii="Times New Roman" w:eastAsia="Times New Roman" w:hAnsi="Times New Roman" w:cs="Times New Roman"/>
                <w:sz w:val="21"/>
                <w:szCs w:val="21"/>
                <w:vertAlign w:val="superscript"/>
              </w:rPr>
              <w:footnoteReference w:id="16"/>
            </w:r>
            <w:r>
              <w:rPr>
                <w:rFonts w:ascii="Times New Roman" w:eastAsia="Times New Roman" w:hAnsi="Times New Roman" w:cs="Times New Roman"/>
                <w:sz w:val="21"/>
                <w:szCs w:val="21"/>
              </w:rPr>
              <w:t xml:space="preserve">. </w:t>
            </w:r>
          </w:p>
          <w:p w14:paraId="3F7ADF08" w14:textId="77777777" w:rsidR="004E7D69" w:rsidRDefault="004E7D69">
            <w:pPr>
              <w:ind w:left="720"/>
              <w:rPr>
                <w:rFonts w:ascii="Times New Roman" w:eastAsia="Times New Roman" w:hAnsi="Times New Roman" w:cs="Times New Roman"/>
                <w:sz w:val="21"/>
                <w:szCs w:val="21"/>
              </w:rPr>
            </w:pPr>
          </w:p>
          <w:p w14:paraId="67CB07F3" w14:textId="77777777" w:rsidR="004E7D69" w:rsidRDefault="00AA4EE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Even while the 2020 General Elections resulted in women gaining 29 per cent of the seats- the highest number in Singapore’s history, this is still a highly disproportionate number.</w:t>
            </w:r>
          </w:p>
          <w:p w14:paraId="72FCF181" w14:textId="77777777" w:rsidR="004E7D69" w:rsidRDefault="004E7D69">
            <w:pPr>
              <w:ind w:left="720"/>
              <w:rPr>
                <w:rFonts w:ascii="Times New Roman" w:eastAsia="Times New Roman" w:hAnsi="Times New Roman" w:cs="Times New Roman"/>
                <w:sz w:val="21"/>
                <w:szCs w:val="21"/>
              </w:rPr>
            </w:pPr>
          </w:p>
          <w:p w14:paraId="6CC9E835" w14:textId="77777777" w:rsidR="004E7D69" w:rsidRDefault="00AA4EE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We note however that in a positive step, the marital immunity for rape was repealed as part of the changes to Singapore’s penal code</w:t>
            </w:r>
            <w:r>
              <w:rPr>
                <w:rFonts w:ascii="Times New Roman" w:eastAsia="Times New Roman" w:hAnsi="Times New Roman" w:cs="Times New Roman"/>
                <w:sz w:val="21"/>
                <w:szCs w:val="21"/>
                <w:vertAlign w:val="superscript"/>
              </w:rPr>
              <w:footnoteReference w:id="17"/>
            </w:r>
          </w:p>
        </w:tc>
        <w:tc>
          <w:tcPr>
            <w:tcW w:w="3375" w:type="dxa"/>
            <w:shd w:val="clear" w:color="auto" w:fill="auto"/>
            <w:tcMar>
              <w:top w:w="100" w:type="dxa"/>
              <w:left w:w="100" w:type="dxa"/>
              <w:bottom w:w="100" w:type="dxa"/>
              <w:right w:w="100" w:type="dxa"/>
            </w:tcMar>
          </w:tcPr>
          <w:p w14:paraId="18DE2D52" w14:textId="77777777" w:rsidR="004E7D69" w:rsidRDefault="00AA4EE0">
            <w:pPr>
              <w:numPr>
                <w:ilvl w:val="0"/>
                <w:numId w:val="1"/>
              </w:num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Similar to third cycle recommendation </w:t>
            </w:r>
          </w:p>
          <w:p w14:paraId="1E7D6434" w14:textId="77777777" w:rsidR="004E7D69" w:rsidRDefault="004E7D69">
            <w:pPr>
              <w:ind w:left="360"/>
              <w:rPr>
                <w:rFonts w:ascii="Times New Roman" w:eastAsia="Times New Roman" w:hAnsi="Times New Roman" w:cs="Times New Roman"/>
                <w:sz w:val="21"/>
                <w:szCs w:val="21"/>
              </w:rPr>
            </w:pPr>
          </w:p>
        </w:tc>
        <w:tc>
          <w:tcPr>
            <w:tcW w:w="3150" w:type="dxa"/>
            <w:shd w:val="clear" w:color="auto" w:fill="auto"/>
            <w:tcMar>
              <w:top w:w="100" w:type="dxa"/>
              <w:left w:w="100" w:type="dxa"/>
              <w:bottom w:w="100" w:type="dxa"/>
              <w:right w:w="100" w:type="dxa"/>
            </w:tcMar>
          </w:tcPr>
          <w:p w14:paraId="4B79E852" w14:textId="77777777" w:rsidR="004E7D69" w:rsidRDefault="00AA4EE0">
            <w:pPr>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State needs to </w:t>
            </w:r>
            <w:r>
              <w:rPr>
                <w:rFonts w:ascii="Times New Roman" w:eastAsia="Times New Roman" w:hAnsi="Times New Roman" w:cs="Times New Roman"/>
                <w:color w:val="FF0000"/>
                <w:sz w:val="21"/>
                <w:szCs w:val="21"/>
              </w:rPr>
              <w:t>actively ensure that gender parity is the norm in Singapore</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It is not enough for Ministers to highlight that societal mind sets should change</w:t>
            </w:r>
            <w:r>
              <w:rPr>
                <w:rFonts w:ascii="Times New Roman" w:eastAsia="Times New Roman" w:hAnsi="Times New Roman" w:cs="Times New Roman"/>
                <w:sz w:val="21"/>
                <w:szCs w:val="21"/>
                <w:vertAlign w:val="superscript"/>
              </w:rPr>
              <w:footnoteReference w:id="18"/>
            </w:r>
            <w:r>
              <w:rPr>
                <w:rFonts w:ascii="Times New Roman" w:eastAsia="Times New Roman" w:hAnsi="Times New Roman" w:cs="Times New Roman"/>
                <w:sz w:val="21"/>
                <w:szCs w:val="21"/>
              </w:rPr>
              <w:t xml:space="preserve">. </w:t>
            </w:r>
          </w:p>
        </w:tc>
      </w:tr>
    </w:tbl>
    <w:p w14:paraId="098350A5" w14:textId="77777777" w:rsidR="004E7D69" w:rsidRDefault="004E7D69">
      <w:pPr>
        <w:rPr>
          <w:rFonts w:ascii="Times New Roman" w:eastAsia="Times New Roman" w:hAnsi="Times New Roman" w:cs="Times New Roman"/>
          <w:sz w:val="21"/>
          <w:szCs w:val="21"/>
        </w:rPr>
      </w:pPr>
    </w:p>
    <w:tbl>
      <w:tblPr>
        <w:tblStyle w:val="a4"/>
        <w:tblW w:w="1615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220"/>
        <w:gridCol w:w="1860"/>
        <w:gridCol w:w="3540"/>
        <w:gridCol w:w="3315"/>
        <w:gridCol w:w="3120"/>
      </w:tblGrid>
      <w:tr w:rsidR="004E7D69" w14:paraId="6BDEAC30" w14:textId="77777777">
        <w:tc>
          <w:tcPr>
            <w:tcW w:w="2100" w:type="dxa"/>
            <w:shd w:val="clear" w:color="auto" w:fill="A4C2F4"/>
            <w:tcMar>
              <w:top w:w="100" w:type="dxa"/>
              <w:left w:w="100" w:type="dxa"/>
              <w:bottom w:w="100" w:type="dxa"/>
              <w:right w:w="100" w:type="dxa"/>
            </w:tcMar>
          </w:tcPr>
          <w:p w14:paraId="0DB992DA"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2220" w:type="dxa"/>
            <w:shd w:val="clear" w:color="auto" w:fill="A4C2F4"/>
            <w:tcMar>
              <w:top w:w="100" w:type="dxa"/>
              <w:left w:w="100" w:type="dxa"/>
              <w:bottom w:w="100" w:type="dxa"/>
              <w:right w:w="100" w:type="dxa"/>
            </w:tcMar>
          </w:tcPr>
          <w:p w14:paraId="23435E8F"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860" w:type="dxa"/>
            <w:shd w:val="clear" w:color="auto" w:fill="A4C2F4"/>
            <w:tcMar>
              <w:top w:w="100" w:type="dxa"/>
              <w:left w:w="100" w:type="dxa"/>
              <w:bottom w:w="100" w:type="dxa"/>
              <w:right w:w="100" w:type="dxa"/>
            </w:tcMar>
          </w:tcPr>
          <w:p w14:paraId="6A8F519D"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540" w:type="dxa"/>
            <w:shd w:val="clear" w:color="auto" w:fill="A4C2F4"/>
            <w:tcMar>
              <w:top w:w="100" w:type="dxa"/>
              <w:left w:w="100" w:type="dxa"/>
              <w:bottom w:w="100" w:type="dxa"/>
              <w:right w:w="100" w:type="dxa"/>
            </w:tcMar>
          </w:tcPr>
          <w:p w14:paraId="173AE0AF"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315" w:type="dxa"/>
            <w:shd w:val="clear" w:color="auto" w:fill="A4C2F4"/>
            <w:tcMar>
              <w:top w:w="100" w:type="dxa"/>
              <w:left w:w="100" w:type="dxa"/>
              <w:bottom w:w="100" w:type="dxa"/>
              <w:right w:w="100" w:type="dxa"/>
            </w:tcMar>
          </w:tcPr>
          <w:p w14:paraId="48CA5B96"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tc>
        <w:tc>
          <w:tcPr>
            <w:tcW w:w="3120" w:type="dxa"/>
            <w:shd w:val="clear" w:color="auto" w:fill="A4C2F4"/>
            <w:tcMar>
              <w:top w:w="100" w:type="dxa"/>
              <w:left w:w="100" w:type="dxa"/>
              <w:bottom w:w="100" w:type="dxa"/>
              <w:right w:w="100" w:type="dxa"/>
            </w:tcMar>
          </w:tcPr>
          <w:p w14:paraId="1628644F" w14:textId="77777777" w:rsidR="004E7D69" w:rsidRDefault="00AA4EE0">
            <w:pPr>
              <w:widowControl w:val="0"/>
              <w:spacing w:line="240" w:lineRule="auto"/>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Recommendation for Third Cycle </w:t>
            </w:r>
          </w:p>
          <w:p w14:paraId="269CE3DF"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5A8F89F7" w14:textId="77777777">
        <w:trPr>
          <w:trHeight w:val="420"/>
        </w:trPr>
        <w:tc>
          <w:tcPr>
            <w:tcW w:w="16155" w:type="dxa"/>
            <w:gridSpan w:val="6"/>
            <w:shd w:val="clear" w:color="auto" w:fill="D9E7FF"/>
            <w:tcMar>
              <w:top w:w="100" w:type="dxa"/>
              <w:left w:w="100" w:type="dxa"/>
              <w:bottom w:w="100" w:type="dxa"/>
              <w:right w:w="100" w:type="dxa"/>
            </w:tcMar>
          </w:tcPr>
          <w:p w14:paraId="5880A6E5"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xml:space="preserve">Theme: E21 Right to an adequate standard of living - general </w:t>
            </w:r>
          </w:p>
        </w:tc>
      </w:tr>
      <w:tr w:rsidR="004E7D69" w14:paraId="00AC7467" w14:textId="77777777">
        <w:trPr>
          <w:trHeight w:val="447"/>
        </w:trPr>
        <w:tc>
          <w:tcPr>
            <w:tcW w:w="2100" w:type="dxa"/>
            <w:shd w:val="clear" w:color="auto" w:fill="auto"/>
            <w:tcMar>
              <w:top w:w="100" w:type="dxa"/>
              <w:left w:w="100" w:type="dxa"/>
              <w:bottom w:w="100" w:type="dxa"/>
              <w:right w:w="100" w:type="dxa"/>
            </w:tcMar>
          </w:tcPr>
          <w:p w14:paraId="4FAC9C5A"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166.216 Continue implementing its social policies and programmes with a view to strengthening social harmony, in particular to help the elderly and the low-income citizens (Cambodia); </w:t>
            </w:r>
          </w:p>
          <w:p w14:paraId="2BF6F772"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w:t>
            </w:r>
          </w:p>
          <w:p w14:paraId="3C7FA695" w14:textId="77777777" w:rsidR="004E7D69" w:rsidRDefault="004E7D69">
            <w:pPr>
              <w:spacing w:before="40" w:after="40" w:line="240" w:lineRule="auto"/>
              <w:rPr>
                <w:rFonts w:ascii="Times New Roman" w:eastAsia="Times New Roman" w:hAnsi="Times New Roman" w:cs="Times New Roman"/>
                <w:sz w:val="21"/>
                <w:szCs w:val="21"/>
              </w:rPr>
            </w:pPr>
          </w:p>
        </w:tc>
        <w:tc>
          <w:tcPr>
            <w:tcW w:w="2220" w:type="dxa"/>
            <w:shd w:val="clear" w:color="auto" w:fill="auto"/>
            <w:tcMar>
              <w:top w:w="100" w:type="dxa"/>
              <w:left w:w="100" w:type="dxa"/>
              <w:bottom w:w="100" w:type="dxa"/>
              <w:right w:w="100" w:type="dxa"/>
            </w:tcMar>
          </w:tcPr>
          <w:p w14:paraId="082677A0"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E21 Right to an adequate standar</w:t>
            </w:r>
            <w:r>
              <w:rPr>
                <w:rFonts w:ascii="Times New Roman" w:eastAsia="Times New Roman" w:hAnsi="Times New Roman" w:cs="Times New Roman"/>
                <w:sz w:val="21"/>
                <w:szCs w:val="21"/>
              </w:rPr>
              <w:t>d of living - general</w:t>
            </w:r>
          </w:p>
          <w:p w14:paraId="46C7F244"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G9 Older persons</w:t>
            </w:r>
          </w:p>
          <w:p w14:paraId="7FA5FCEE"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E24 Right to social security</w:t>
            </w:r>
          </w:p>
          <w:p w14:paraId="1DE53BB0"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7E2F80E9"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older persons</w:t>
            </w:r>
          </w:p>
          <w:p w14:paraId="7F7170C3" w14:textId="77777777" w:rsidR="004E7D69" w:rsidRDefault="004E7D69">
            <w:pPr>
              <w:spacing w:line="240" w:lineRule="auto"/>
              <w:rPr>
                <w:rFonts w:ascii="Times New Roman" w:eastAsia="Times New Roman" w:hAnsi="Times New Roman" w:cs="Times New Roman"/>
                <w:sz w:val="21"/>
                <w:szCs w:val="21"/>
              </w:rPr>
            </w:pPr>
          </w:p>
        </w:tc>
        <w:tc>
          <w:tcPr>
            <w:tcW w:w="1860" w:type="dxa"/>
            <w:shd w:val="clear" w:color="auto" w:fill="auto"/>
            <w:tcMar>
              <w:top w:w="100" w:type="dxa"/>
              <w:left w:w="100" w:type="dxa"/>
              <w:bottom w:w="100" w:type="dxa"/>
              <w:right w:w="100" w:type="dxa"/>
            </w:tcMar>
          </w:tcPr>
          <w:p w14:paraId="3DFFEE70"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Supported </w:t>
            </w:r>
          </w:p>
        </w:tc>
        <w:tc>
          <w:tcPr>
            <w:tcW w:w="3540" w:type="dxa"/>
            <w:shd w:val="clear" w:color="auto" w:fill="auto"/>
            <w:tcMar>
              <w:top w:w="100" w:type="dxa"/>
              <w:left w:w="100" w:type="dxa"/>
              <w:bottom w:w="100" w:type="dxa"/>
              <w:right w:w="100" w:type="dxa"/>
            </w:tcMar>
          </w:tcPr>
          <w:p w14:paraId="1E6B136F" w14:textId="77777777" w:rsidR="004E7D69" w:rsidRDefault="00AA4EE0">
            <w:pPr>
              <w:widowControl w:val="0"/>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Singapore does not have a minimum wage provision, preferring instead a Progressive Wage Model (PWM) </w:t>
            </w:r>
          </w:p>
          <w:p w14:paraId="0CD54D83" w14:textId="77777777" w:rsidR="004E7D69" w:rsidRDefault="004E7D69">
            <w:pPr>
              <w:widowControl w:val="0"/>
              <w:spacing w:line="240" w:lineRule="auto"/>
              <w:ind w:left="720"/>
              <w:rPr>
                <w:rFonts w:ascii="Times New Roman" w:eastAsia="Times New Roman" w:hAnsi="Times New Roman" w:cs="Times New Roman"/>
                <w:sz w:val="21"/>
                <w:szCs w:val="21"/>
              </w:rPr>
            </w:pPr>
          </w:p>
          <w:p w14:paraId="6E0B594D" w14:textId="77777777" w:rsidR="004E7D69" w:rsidRDefault="00AA4EE0">
            <w:pPr>
              <w:widowControl w:val="0"/>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This does not address the root cause of a cheap influx of foreign labour, and the associative impact on low-income citizens </w:t>
            </w:r>
          </w:p>
          <w:p w14:paraId="446DE073" w14:textId="77777777" w:rsidR="004E7D69" w:rsidRDefault="004E7D69">
            <w:pPr>
              <w:widowControl w:val="0"/>
              <w:spacing w:line="240" w:lineRule="auto"/>
              <w:ind w:left="720"/>
              <w:rPr>
                <w:rFonts w:ascii="Times New Roman" w:eastAsia="Times New Roman" w:hAnsi="Times New Roman" w:cs="Times New Roman"/>
                <w:sz w:val="21"/>
                <w:szCs w:val="21"/>
              </w:rPr>
            </w:pPr>
          </w:p>
          <w:p w14:paraId="464870D2" w14:textId="77777777" w:rsidR="004E7D69" w:rsidRDefault="00AA4EE0">
            <w:pPr>
              <w:numPr>
                <w:ilvl w:val="0"/>
                <w:numId w:val="4"/>
              </w:numPr>
              <w:rPr>
                <w:rFonts w:ascii="Times New Roman" w:eastAsia="Times New Roman" w:hAnsi="Times New Roman" w:cs="Times New Roman"/>
                <w:sz w:val="21"/>
                <w:szCs w:val="21"/>
              </w:rPr>
            </w:pPr>
            <w:r>
              <w:rPr>
                <w:rFonts w:ascii="Times New Roman" w:eastAsia="Times New Roman" w:hAnsi="Times New Roman" w:cs="Times New Roman"/>
                <w:sz w:val="21"/>
                <w:szCs w:val="21"/>
              </w:rPr>
              <w:t>In 2018, Singapore ranked 149 out of 157 countries in the "Commitment to Reducing Inequality Index" released by Oxfam</w:t>
            </w:r>
            <w:r>
              <w:rPr>
                <w:rFonts w:ascii="Times New Roman" w:eastAsia="Times New Roman" w:hAnsi="Times New Roman" w:cs="Times New Roman"/>
                <w:sz w:val="21"/>
                <w:szCs w:val="21"/>
                <w:vertAlign w:val="superscript"/>
              </w:rPr>
              <w:footnoteReference w:id="19"/>
            </w:r>
            <w:r>
              <w:rPr>
                <w:rFonts w:ascii="Times New Roman" w:eastAsia="Times New Roman" w:hAnsi="Times New Roman" w:cs="Times New Roman"/>
                <w:sz w:val="21"/>
                <w:szCs w:val="21"/>
              </w:rPr>
              <w:t xml:space="preserve"> This was a</w:t>
            </w:r>
            <w:r>
              <w:rPr>
                <w:rFonts w:ascii="Times New Roman" w:eastAsia="Times New Roman" w:hAnsi="Times New Roman" w:cs="Times New Roman"/>
                <w:sz w:val="21"/>
                <w:szCs w:val="21"/>
              </w:rPr>
              <w:t xml:space="preserve"> sharp drop from the 86th position out of 152 countries, as held  in 2017. The drop has been attributed to "harmful tax practices". </w:t>
            </w:r>
          </w:p>
          <w:p w14:paraId="641D0858" w14:textId="77777777" w:rsidR="004E7D69" w:rsidRDefault="004E7D69">
            <w:pPr>
              <w:ind w:left="720"/>
              <w:rPr>
                <w:rFonts w:ascii="Times New Roman" w:eastAsia="Times New Roman" w:hAnsi="Times New Roman" w:cs="Times New Roman"/>
                <w:sz w:val="21"/>
                <w:szCs w:val="21"/>
              </w:rPr>
            </w:pPr>
          </w:p>
          <w:p w14:paraId="48D612ED" w14:textId="77777777" w:rsidR="004E7D69" w:rsidRDefault="00AA4EE0">
            <w:pPr>
              <w:numPr>
                <w:ilvl w:val="0"/>
                <w:numId w:val="4"/>
              </w:num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In 2020, the pandemic has further exacerbated existing inequalities in Singapore. </w:t>
            </w:r>
          </w:p>
        </w:tc>
        <w:tc>
          <w:tcPr>
            <w:tcW w:w="3315" w:type="dxa"/>
            <w:shd w:val="clear" w:color="auto" w:fill="auto"/>
            <w:tcMar>
              <w:top w:w="100" w:type="dxa"/>
              <w:left w:w="100" w:type="dxa"/>
              <w:bottom w:w="100" w:type="dxa"/>
              <w:right w:w="100" w:type="dxa"/>
            </w:tcMar>
          </w:tcPr>
          <w:p w14:paraId="57A0EAB5" w14:textId="77777777" w:rsidR="004E7D69" w:rsidRDefault="00AA4EE0">
            <w:pPr>
              <w:widowControl w:val="0"/>
              <w:numPr>
                <w:ilvl w:val="0"/>
                <w:numId w:val="17"/>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While the government has supported some</w:t>
            </w:r>
            <w:r>
              <w:rPr>
                <w:rFonts w:ascii="Times New Roman" w:eastAsia="Times New Roman" w:hAnsi="Times New Roman" w:cs="Times New Roman"/>
                <w:sz w:val="21"/>
                <w:szCs w:val="21"/>
              </w:rPr>
              <w:t xml:space="preserve">  recommendations to improve the social welfare of people, those who fall through the gaps include those who are homeless, single parents, and divorcees with families </w:t>
            </w:r>
          </w:p>
        </w:tc>
        <w:tc>
          <w:tcPr>
            <w:tcW w:w="3120" w:type="dxa"/>
            <w:shd w:val="clear" w:color="auto" w:fill="auto"/>
            <w:tcMar>
              <w:top w:w="100" w:type="dxa"/>
              <w:left w:w="100" w:type="dxa"/>
              <w:bottom w:w="100" w:type="dxa"/>
              <w:right w:w="100" w:type="dxa"/>
            </w:tcMar>
          </w:tcPr>
          <w:p w14:paraId="53590F13" w14:textId="77777777" w:rsidR="004E7D69" w:rsidRDefault="00AA4EE0">
            <w:pPr>
              <w:numPr>
                <w:ilvl w:val="0"/>
                <w:numId w:val="17"/>
              </w:numPr>
              <w:rPr>
                <w:rFonts w:ascii="Times New Roman" w:eastAsia="Times New Roman" w:hAnsi="Times New Roman" w:cs="Times New Roman"/>
                <w:sz w:val="21"/>
                <w:szCs w:val="21"/>
              </w:rPr>
            </w:pPr>
            <w:r>
              <w:rPr>
                <w:rFonts w:ascii="Times New Roman" w:eastAsia="Times New Roman" w:hAnsi="Times New Roman" w:cs="Times New Roman"/>
                <w:sz w:val="21"/>
                <w:szCs w:val="21"/>
              </w:rPr>
              <w:t>The government has implemented some policies to improve the social welfare of people but</w:t>
            </w:r>
            <w:r>
              <w:rPr>
                <w:rFonts w:ascii="Times New Roman" w:eastAsia="Times New Roman" w:hAnsi="Times New Roman" w:cs="Times New Roman"/>
                <w:sz w:val="21"/>
                <w:szCs w:val="21"/>
              </w:rPr>
              <w:t xml:space="preserve"> there are still some gaps as highlighted. </w:t>
            </w:r>
          </w:p>
          <w:p w14:paraId="1AA42645" w14:textId="77777777" w:rsidR="004E7D69" w:rsidRDefault="004E7D69">
            <w:pPr>
              <w:ind w:left="720"/>
              <w:rPr>
                <w:rFonts w:ascii="Times New Roman" w:eastAsia="Times New Roman" w:hAnsi="Times New Roman" w:cs="Times New Roman"/>
                <w:sz w:val="21"/>
                <w:szCs w:val="21"/>
              </w:rPr>
            </w:pPr>
          </w:p>
          <w:p w14:paraId="265CDACB" w14:textId="77777777" w:rsidR="004E7D69" w:rsidRDefault="00AA4EE0">
            <w:pPr>
              <w:numPr>
                <w:ilvl w:val="0"/>
                <w:numId w:val="17"/>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recommend that the government be more </w:t>
            </w:r>
            <w:r>
              <w:rPr>
                <w:rFonts w:ascii="Times New Roman" w:eastAsia="Times New Roman" w:hAnsi="Times New Roman" w:cs="Times New Roman"/>
                <w:color w:val="FF0000"/>
                <w:sz w:val="21"/>
                <w:szCs w:val="21"/>
              </w:rPr>
              <w:t xml:space="preserve">open to alternative criticisms </w:t>
            </w:r>
            <w:r>
              <w:rPr>
                <w:rFonts w:ascii="Times New Roman" w:eastAsia="Times New Roman" w:hAnsi="Times New Roman" w:cs="Times New Roman"/>
                <w:sz w:val="21"/>
                <w:szCs w:val="21"/>
              </w:rPr>
              <w:t xml:space="preserve">on policies as they could also possibly be solutions. </w:t>
            </w:r>
          </w:p>
          <w:p w14:paraId="53425A4A" w14:textId="77777777" w:rsidR="004E7D69" w:rsidRDefault="00AA4EE0">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338E99BB" w14:textId="77777777" w:rsidR="004E7D69" w:rsidRDefault="00AA4EE0">
            <w:pPr>
              <w:numPr>
                <w:ilvl w:val="0"/>
                <w:numId w:val="17"/>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government also needs to </w:t>
            </w:r>
            <w:r>
              <w:rPr>
                <w:rFonts w:ascii="Times New Roman" w:eastAsia="Times New Roman" w:hAnsi="Times New Roman" w:cs="Times New Roman"/>
                <w:color w:val="FF0000"/>
                <w:sz w:val="21"/>
                <w:szCs w:val="21"/>
              </w:rPr>
              <w:t>review its policies to meet people’s ‘adequate standard of living’</w:t>
            </w:r>
            <w:r>
              <w:rPr>
                <w:rFonts w:ascii="Times New Roman" w:eastAsia="Times New Roman" w:hAnsi="Times New Roman" w:cs="Times New Roman"/>
                <w:sz w:val="21"/>
                <w:szCs w:val="21"/>
              </w:rPr>
              <w:t xml:space="preserve"> which means having: a roof over one’s head; a sustainable </w:t>
            </w:r>
            <w:r>
              <w:rPr>
                <w:rFonts w:ascii="Times New Roman" w:eastAsia="Times New Roman" w:hAnsi="Times New Roman" w:cs="Times New Roman"/>
                <w:sz w:val="21"/>
                <w:szCs w:val="21"/>
              </w:rPr>
              <w:lastRenderedPageBreak/>
              <w:t xml:space="preserve">livelihood; food and affordable healthcare.  </w:t>
            </w:r>
          </w:p>
        </w:tc>
      </w:tr>
    </w:tbl>
    <w:p w14:paraId="72FA423F" w14:textId="77777777" w:rsidR="004E7D69" w:rsidRDefault="004E7D69">
      <w:pPr>
        <w:rPr>
          <w:rFonts w:ascii="Times New Roman" w:eastAsia="Times New Roman" w:hAnsi="Times New Roman" w:cs="Times New Roman"/>
          <w:sz w:val="21"/>
          <w:szCs w:val="21"/>
        </w:rPr>
      </w:pPr>
    </w:p>
    <w:p w14:paraId="05CC58E3" w14:textId="77777777" w:rsidR="004E7D69" w:rsidRDefault="004E7D69">
      <w:pPr>
        <w:rPr>
          <w:rFonts w:ascii="Times New Roman" w:eastAsia="Times New Roman" w:hAnsi="Times New Roman" w:cs="Times New Roman"/>
          <w:sz w:val="21"/>
          <w:szCs w:val="21"/>
        </w:rPr>
      </w:pPr>
    </w:p>
    <w:p w14:paraId="0B7AADFF" w14:textId="77777777" w:rsidR="004E7D69" w:rsidRDefault="004E7D69">
      <w:pPr>
        <w:rPr>
          <w:rFonts w:ascii="Times New Roman" w:eastAsia="Times New Roman" w:hAnsi="Times New Roman" w:cs="Times New Roman"/>
          <w:sz w:val="21"/>
          <w:szCs w:val="21"/>
        </w:rPr>
      </w:pPr>
    </w:p>
    <w:tbl>
      <w:tblPr>
        <w:tblStyle w:val="a5"/>
        <w:tblW w:w="1615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250"/>
        <w:gridCol w:w="1785"/>
        <w:gridCol w:w="3585"/>
        <w:gridCol w:w="3240"/>
        <w:gridCol w:w="3195"/>
      </w:tblGrid>
      <w:tr w:rsidR="004E7D69" w14:paraId="5366AF3A" w14:textId="77777777">
        <w:tc>
          <w:tcPr>
            <w:tcW w:w="2100" w:type="dxa"/>
            <w:shd w:val="clear" w:color="auto" w:fill="93C47D"/>
            <w:tcMar>
              <w:top w:w="100" w:type="dxa"/>
              <w:left w:w="100" w:type="dxa"/>
              <w:bottom w:w="100" w:type="dxa"/>
              <w:right w:w="100" w:type="dxa"/>
            </w:tcMar>
          </w:tcPr>
          <w:p w14:paraId="7C71C595"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2250" w:type="dxa"/>
            <w:shd w:val="clear" w:color="auto" w:fill="93C47D"/>
            <w:tcMar>
              <w:top w:w="100" w:type="dxa"/>
              <w:left w:w="100" w:type="dxa"/>
              <w:bottom w:w="100" w:type="dxa"/>
              <w:right w:w="100" w:type="dxa"/>
            </w:tcMar>
          </w:tcPr>
          <w:p w14:paraId="33B5DCF1"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785" w:type="dxa"/>
            <w:shd w:val="clear" w:color="auto" w:fill="93C47D"/>
            <w:tcMar>
              <w:top w:w="100" w:type="dxa"/>
              <w:left w:w="100" w:type="dxa"/>
              <w:bottom w:w="100" w:type="dxa"/>
              <w:right w:w="100" w:type="dxa"/>
            </w:tcMar>
          </w:tcPr>
          <w:p w14:paraId="62E9CE1C"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585" w:type="dxa"/>
            <w:shd w:val="clear" w:color="auto" w:fill="93C47D"/>
            <w:tcMar>
              <w:top w:w="100" w:type="dxa"/>
              <w:left w:w="100" w:type="dxa"/>
              <w:bottom w:w="100" w:type="dxa"/>
              <w:right w:w="100" w:type="dxa"/>
            </w:tcMar>
          </w:tcPr>
          <w:p w14:paraId="3E94E9BB"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240" w:type="dxa"/>
            <w:shd w:val="clear" w:color="auto" w:fill="93C47D"/>
            <w:tcMar>
              <w:top w:w="100" w:type="dxa"/>
              <w:left w:w="100" w:type="dxa"/>
              <w:bottom w:w="100" w:type="dxa"/>
              <w:right w:w="100" w:type="dxa"/>
            </w:tcMar>
          </w:tcPr>
          <w:p w14:paraId="71D77170"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tc>
        <w:tc>
          <w:tcPr>
            <w:tcW w:w="3195" w:type="dxa"/>
            <w:shd w:val="clear" w:color="auto" w:fill="93C47D"/>
            <w:tcMar>
              <w:top w:w="100" w:type="dxa"/>
              <w:left w:w="100" w:type="dxa"/>
              <w:bottom w:w="100" w:type="dxa"/>
              <w:right w:w="100" w:type="dxa"/>
            </w:tcMar>
          </w:tcPr>
          <w:p w14:paraId="7127D2F7"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color w:val="FF0000"/>
                <w:sz w:val="21"/>
                <w:szCs w:val="21"/>
              </w:rPr>
              <w:t xml:space="preserve">Recommendation for Third Cycle </w:t>
            </w:r>
          </w:p>
          <w:p w14:paraId="1FD5428C"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032E4458" w14:textId="77777777">
        <w:trPr>
          <w:trHeight w:val="420"/>
        </w:trPr>
        <w:tc>
          <w:tcPr>
            <w:tcW w:w="16155" w:type="dxa"/>
            <w:gridSpan w:val="6"/>
            <w:shd w:val="clear" w:color="auto" w:fill="D9EAD3"/>
            <w:tcMar>
              <w:top w:w="100" w:type="dxa"/>
              <w:left w:w="100" w:type="dxa"/>
              <w:bottom w:w="100" w:type="dxa"/>
              <w:right w:w="100" w:type="dxa"/>
            </w:tcMar>
          </w:tcPr>
          <w:p w14:paraId="255D3105"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D23 Death penalty</w:t>
            </w:r>
          </w:p>
        </w:tc>
      </w:tr>
      <w:tr w:rsidR="004E7D69" w14:paraId="38E445F6" w14:textId="77777777">
        <w:trPr>
          <w:trHeight w:val="447"/>
        </w:trPr>
        <w:tc>
          <w:tcPr>
            <w:tcW w:w="2100" w:type="dxa"/>
            <w:shd w:val="clear" w:color="auto" w:fill="auto"/>
            <w:tcMar>
              <w:top w:w="100" w:type="dxa"/>
              <w:left w:w="100" w:type="dxa"/>
              <w:bottom w:w="100" w:type="dxa"/>
              <w:right w:w="100" w:type="dxa"/>
            </w:tcMar>
          </w:tcPr>
          <w:p w14:paraId="210087F0"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166.157 Re-establish a moratorium on executions, with a view to the complete abolition of the death penalty, and prohibit the imposition of the death penalty against persons with mental and intellectual disabilities (South Africa); Prohibit the execution o</w:t>
            </w:r>
            <w:r>
              <w:rPr>
                <w:rFonts w:ascii="Times New Roman" w:eastAsia="Times New Roman" w:hAnsi="Times New Roman" w:cs="Times New Roman"/>
                <w:sz w:val="21"/>
                <w:szCs w:val="21"/>
              </w:rPr>
              <w:t>f persons with mental and intellectual disabilities (Spain);</w:t>
            </w:r>
          </w:p>
          <w:p w14:paraId="2C6BBCDC"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w:t>
            </w:r>
          </w:p>
          <w:p w14:paraId="3C391705" w14:textId="77777777" w:rsidR="004E7D69" w:rsidRDefault="004E7D69">
            <w:pPr>
              <w:spacing w:before="40" w:after="40" w:line="240" w:lineRule="auto"/>
              <w:rPr>
                <w:rFonts w:ascii="Times New Roman" w:eastAsia="Times New Roman" w:hAnsi="Times New Roman" w:cs="Times New Roman"/>
                <w:sz w:val="21"/>
                <w:szCs w:val="21"/>
              </w:rPr>
            </w:pPr>
          </w:p>
        </w:tc>
        <w:tc>
          <w:tcPr>
            <w:tcW w:w="2250" w:type="dxa"/>
            <w:shd w:val="clear" w:color="auto" w:fill="auto"/>
            <w:tcMar>
              <w:top w:w="100" w:type="dxa"/>
              <w:left w:w="100" w:type="dxa"/>
              <w:bottom w:w="100" w:type="dxa"/>
              <w:right w:w="100" w:type="dxa"/>
            </w:tcMar>
          </w:tcPr>
          <w:p w14:paraId="7534DF26"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D23 Death penalty</w:t>
            </w:r>
          </w:p>
          <w:p w14:paraId="0861A7D3"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256FF63D"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general</w:t>
            </w:r>
          </w:p>
          <w:p w14:paraId="5346388F" w14:textId="77777777" w:rsidR="004E7D69" w:rsidRDefault="004E7D69">
            <w:pPr>
              <w:spacing w:line="240" w:lineRule="auto"/>
              <w:rPr>
                <w:rFonts w:ascii="Times New Roman" w:eastAsia="Times New Roman" w:hAnsi="Times New Roman" w:cs="Times New Roman"/>
                <w:sz w:val="21"/>
                <w:szCs w:val="21"/>
              </w:rPr>
            </w:pPr>
          </w:p>
        </w:tc>
        <w:tc>
          <w:tcPr>
            <w:tcW w:w="1785" w:type="dxa"/>
            <w:shd w:val="clear" w:color="auto" w:fill="auto"/>
            <w:tcMar>
              <w:top w:w="100" w:type="dxa"/>
              <w:left w:w="100" w:type="dxa"/>
              <w:bottom w:w="100" w:type="dxa"/>
              <w:right w:w="100" w:type="dxa"/>
            </w:tcMar>
          </w:tcPr>
          <w:p w14:paraId="47F49AD8"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Noted</w:t>
            </w:r>
          </w:p>
        </w:tc>
        <w:tc>
          <w:tcPr>
            <w:tcW w:w="3585" w:type="dxa"/>
            <w:shd w:val="clear" w:color="auto" w:fill="auto"/>
            <w:tcMar>
              <w:top w:w="100" w:type="dxa"/>
              <w:left w:w="100" w:type="dxa"/>
              <w:bottom w:w="100" w:type="dxa"/>
              <w:right w:w="100" w:type="dxa"/>
            </w:tcMar>
          </w:tcPr>
          <w:p w14:paraId="0DE52298" w14:textId="77777777" w:rsidR="004E7D69" w:rsidRDefault="00AA4EE0">
            <w:pPr>
              <w:numPr>
                <w:ilvl w:val="0"/>
                <w:numId w:val="15"/>
              </w:numPr>
              <w:rPr>
                <w:rFonts w:ascii="Times New Roman" w:eastAsia="Times New Roman" w:hAnsi="Times New Roman" w:cs="Times New Roman"/>
                <w:sz w:val="21"/>
                <w:szCs w:val="21"/>
              </w:rPr>
            </w:pPr>
            <w:r>
              <w:rPr>
                <w:rFonts w:ascii="Times New Roman" w:eastAsia="Times New Roman" w:hAnsi="Times New Roman" w:cs="Times New Roman"/>
                <w:sz w:val="21"/>
                <w:szCs w:val="21"/>
              </w:rPr>
              <w:t>During the 2011 Universal Periodic Review, Singapore accepted a recommendation from Finland to “[m]ake available statistics and other factual information on the use of the death penalty” and a recommendation from France to “[m]odify its legislation in such</w:t>
            </w:r>
            <w:r>
              <w:rPr>
                <w:rFonts w:ascii="Times New Roman" w:eastAsia="Times New Roman" w:hAnsi="Times New Roman" w:cs="Times New Roman"/>
                <w:sz w:val="21"/>
                <w:szCs w:val="21"/>
              </w:rPr>
              <w:t xml:space="preserve"> a way as to shift the burden of proof of the guilt of a person facing the death penalty, to the prosecution instead of requesting the person to prove their own innocence. </w:t>
            </w:r>
          </w:p>
          <w:p w14:paraId="2A6CD7B1" w14:textId="77777777" w:rsidR="004E7D69" w:rsidRDefault="004E7D69">
            <w:pPr>
              <w:ind w:left="720"/>
              <w:rPr>
                <w:rFonts w:ascii="Times New Roman" w:eastAsia="Times New Roman" w:hAnsi="Times New Roman" w:cs="Times New Roman"/>
                <w:sz w:val="21"/>
                <w:szCs w:val="21"/>
              </w:rPr>
            </w:pPr>
          </w:p>
          <w:p w14:paraId="2C9B7D2A" w14:textId="77777777" w:rsidR="004E7D69" w:rsidRDefault="00AA4EE0">
            <w:pPr>
              <w:numPr>
                <w:ilvl w:val="0"/>
                <w:numId w:val="15"/>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To date, these recommendations have not </w:t>
            </w:r>
            <w:r>
              <w:rPr>
                <w:rFonts w:ascii="Times New Roman" w:eastAsia="Times New Roman" w:hAnsi="Times New Roman" w:cs="Times New Roman"/>
                <w:sz w:val="21"/>
                <w:szCs w:val="21"/>
              </w:rPr>
              <w:lastRenderedPageBreak/>
              <w:t>been substantially carried out. Eight exec</w:t>
            </w:r>
            <w:r>
              <w:rPr>
                <w:rFonts w:ascii="Times New Roman" w:eastAsia="Times New Roman" w:hAnsi="Times New Roman" w:cs="Times New Roman"/>
                <w:sz w:val="21"/>
                <w:szCs w:val="21"/>
              </w:rPr>
              <w:t>utions were carried out in 2017, double the number of executions that took place the previous year.</w:t>
            </w:r>
          </w:p>
          <w:p w14:paraId="641D8242" w14:textId="77777777" w:rsidR="004E7D69" w:rsidRDefault="004E7D69">
            <w:pPr>
              <w:ind w:left="720"/>
              <w:rPr>
                <w:rFonts w:ascii="Times New Roman" w:eastAsia="Times New Roman" w:hAnsi="Times New Roman" w:cs="Times New Roman"/>
                <w:sz w:val="21"/>
                <w:szCs w:val="21"/>
              </w:rPr>
            </w:pPr>
          </w:p>
          <w:p w14:paraId="5B1AFB30" w14:textId="77777777" w:rsidR="004E7D69" w:rsidRDefault="00AA4EE0">
            <w:pPr>
              <w:numPr>
                <w:ilvl w:val="0"/>
                <w:numId w:val="15"/>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Though the Singapore Prison Service publishes the number of executions that take place each year in its annual report, these executions are not always made available to the public via press releases from government agencies. </w:t>
            </w:r>
          </w:p>
          <w:p w14:paraId="352338C7" w14:textId="77777777" w:rsidR="004E7D69" w:rsidRDefault="004E7D69">
            <w:pPr>
              <w:ind w:left="720"/>
              <w:rPr>
                <w:rFonts w:ascii="Times New Roman" w:eastAsia="Times New Roman" w:hAnsi="Times New Roman" w:cs="Times New Roman"/>
                <w:sz w:val="21"/>
                <w:szCs w:val="21"/>
              </w:rPr>
            </w:pPr>
          </w:p>
          <w:p w14:paraId="23460A0E" w14:textId="77777777" w:rsidR="004E7D69" w:rsidRDefault="00AA4EE0">
            <w:pPr>
              <w:numPr>
                <w:ilvl w:val="0"/>
                <w:numId w:val="15"/>
              </w:numPr>
              <w:rPr>
                <w:rFonts w:ascii="Times New Roman" w:eastAsia="Times New Roman" w:hAnsi="Times New Roman" w:cs="Times New Roman"/>
                <w:sz w:val="21"/>
                <w:szCs w:val="21"/>
              </w:rPr>
            </w:pPr>
            <w:r>
              <w:rPr>
                <w:rFonts w:ascii="Times New Roman" w:eastAsia="Times New Roman" w:hAnsi="Times New Roman" w:cs="Times New Roman"/>
                <w:sz w:val="21"/>
                <w:szCs w:val="21"/>
              </w:rPr>
              <w:t>There is a lack of accessible</w:t>
            </w:r>
            <w:r>
              <w:rPr>
                <w:rFonts w:ascii="Times New Roman" w:eastAsia="Times New Roman" w:hAnsi="Times New Roman" w:cs="Times New Roman"/>
                <w:sz w:val="21"/>
                <w:szCs w:val="21"/>
              </w:rPr>
              <w:t xml:space="preserve"> information related to the use of the death penalty in Singapore, for example, the total number of inmates on death row, for instance, is not made public</w:t>
            </w:r>
          </w:p>
          <w:p w14:paraId="50FC73CE" w14:textId="77777777" w:rsidR="004E7D69" w:rsidRDefault="004E7D69">
            <w:pPr>
              <w:ind w:left="720"/>
              <w:rPr>
                <w:rFonts w:ascii="Times New Roman" w:eastAsia="Times New Roman" w:hAnsi="Times New Roman" w:cs="Times New Roman"/>
                <w:sz w:val="21"/>
                <w:szCs w:val="21"/>
              </w:rPr>
            </w:pPr>
          </w:p>
          <w:p w14:paraId="7FF392EE" w14:textId="77777777" w:rsidR="004E7D69" w:rsidRDefault="00AA4EE0">
            <w:pPr>
              <w:numPr>
                <w:ilvl w:val="0"/>
                <w:numId w:val="15"/>
              </w:numPr>
              <w:rPr>
                <w:rFonts w:ascii="Times New Roman" w:eastAsia="Times New Roman" w:hAnsi="Times New Roman" w:cs="Times New Roman"/>
                <w:sz w:val="21"/>
                <w:szCs w:val="21"/>
              </w:rPr>
            </w:pPr>
            <w:r>
              <w:rPr>
                <w:rFonts w:ascii="Times New Roman" w:eastAsia="Times New Roman" w:hAnsi="Times New Roman" w:cs="Times New Roman"/>
                <w:sz w:val="21"/>
                <w:szCs w:val="21"/>
              </w:rPr>
              <w:t>There is now less time between the rejection of a death row inmate’s appeal for clemency, and the sc</w:t>
            </w:r>
            <w:r>
              <w:rPr>
                <w:rFonts w:ascii="Times New Roman" w:eastAsia="Times New Roman" w:hAnsi="Times New Roman" w:cs="Times New Roman"/>
                <w:sz w:val="21"/>
                <w:szCs w:val="21"/>
              </w:rPr>
              <w:t xml:space="preserve">heduling of an execution. Previously, there was a gap of over a week or two between the rejection of clemency and the scheduling of </w:t>
            </w:r>
            <w:r>
              <w:rPr>
                <w:rFonts w:ascii="Times New Roman" w:eastAsia="Times New Roman" w:hAnsi="Times New Roman" w:cs="Times New Roman"/>
                <w:sz w:val="21"/>
                <w:szCs w:val="21"/>
              </w:rPr>
              <w:lastRenderedPageBreak/>
              <w:t>an execution. However, as families of death row inmates have observed, in recent cases, the inmates had been executed either</w:t>
            </w:r>
            <w:r>
              <w:rPr>
                <w:rFonts w:ascii="Times New Roman" w:eastAsia="Times New Roman" w:hAnsi="Times New Roman" w:cs="Times New Roman"/>
                <w:sz w:val="21"/>
                <w:szCs w:val="21"/>
              </w:rPr>
              <w:t xml:space="preserve"> on the same day of the rejection of clemency or very soon after the failed appeal for clemency</w:t>
            </w:r>
          </w:p>
        </w:tc>
        <w:tc>
          <w:tcPr>
            <w:tcW w:w="3240" w:type="dxa"/>
            <w:shd w:val="clear" w:color="auto" w:fill="auto"/>
            <w:tcMar>
              <w:top w:w="100" w:type="dxa"/>
              <w:left w:w="100" w:type="dxa"/>
              <w:bottom w:w="100" w:type="dxa"/>
              <w:right w:w="100" w:type="dxa"/>
            </w:tcMar>
          </w:tcPr>
          <w:p w14:paraId="3E58A048" w14:textId="77777777" w:rsidR="004E7D69" w:rsidRDefault="00AA4EE0">
            <w:pPr>
              <w:widowControl w:val="0"/>
              <w:numPr>
                <w:ilvl w:val="0"/>
                <w:numId w:val="17"/>
              </w:num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 xml:space="preserve">Similar to third cycle recommendation </w:t>
            </w:r>
          </w:p>
        </w:tc>
        <w:tc>
          <w:tcPr>
            <w:tcW w:w="3195" w:type="dxa"/>
            <w:shd w:val="clear" w:color="auto" w:fill="auto"/>
            <w:tcMar>
              <w:top w:w="100" w:type="dxa"/>
              <w:left w:w="100" w:type="dxa"/>
              <w:bottom w:w="100" w:type="dxa"/>
              <w:right w:w="100" w:type="dxa"/>
            </w:tcMar>
          </w:tcPr>
          <w:p w14:paraId="6909D2AE" w14:textId="77777777" w:rsidR="004E7D69" w:rsidRDefault="00AA4EE0">
            <w:pPr>
              <w:numPr>
                <w:ilvl w:val="0"/>
                <w:numId w:val="17"/>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continue to reiterate our recommendations to </w:t>
            </w:r>
            <w:r>
              <w:rPr>
                <w:rFonts w:ascii="Times New Roman" w:eastAsia="Times New Roman" w:hAnsi="Times New Roman" w:cs="Times New Roman"/>
                <w:color w:val="FF0000"/>
                <w:sz w:val="21"/>
                <w:szCs w:val="21"/>
              </w:rPr>
              <w:t xml:space="preserve">abolish the death penalty </w:t>
            </w:r>
            <w:r>
              <w:rPr>
                <w:rFonts w:ascii="Times New Roman" w:eastAsia="Times New Roman" w:hAnsi="Times New Roman" w:cs="Times New Roman"/>
                <w:sz w:val="21"/>
                <w:szCs w:val="21"/>
              </w:rPr>
              <w:t xml:space="preserve">and be transparent, giving </w:t>
            </w:r>
            <w:r>
              <w:rPr>
                <w:rFonts w:ascii="Times New Roman" w:eastAsia="Times New Roman" w:hAnsi="Times New Roman" w:cs="Times New Roman"/>
                <w:color w:val="FF0000"/>
                <w:sz w:val="21"/>
                <w:szCs w:val="21"/>
              </w:rPr>
              <w:t>access to informatio</w:t>
            </w:r>
            <w:r>
              <w:rPr>
                <w:rFonts w:ascii="Times New Roman" w:eastAsia="Times New Roman" w:hAnsi="Times New Roman" w:cs="Times New Roman"/>
                <w:color w:val="FF0000"/>
                <w:sz w:val="21"/>
                <w:szCs w:val="21"/>
              </w:rPr>
              <w:t xml:space="preserve">n </w:t>
            </w:r>
            <w:r>
              <w:rPr>
                <w:rFonts w:ascii="Times New Roman" w:eastAsia="Times New Roman" w:hAnsi="Times New Roman" w:cs="Times New Roman"/>
                <w:sz w:val="21"/>
                <w:szCs w:val="21"/>
              </w:rPr>
              <w:t>and respecting the families of those to be hanged.</w:t>
            </w:r>
          </w:p>
        </w:tc>
      </w:tr>
    </w:tbl>
    <w:p w14:paraId="285CC5A9" w14:textId="77777777" w:rsidR="004E7D69" w:rsidRDefault="004E7D69">
      <w:pPr>
        <w:rPr>
          <w:rFonts w:ascii="Times New Roman" w:eastAsia="Times New Roman" w:hAnsi="Times New Roman" w:cs="Times New Roman"/>
          <w:sz w:val="21"/>
          <w:szCs w:val="21"/>
        </w:rPr>
      </w:pPr>
    </w:p>
    <w:tbl>
      <w:tblPr>
        <w:tblStyle w:val="a6"/>
        <w:tblW w:w="1615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250"/>
        <w:gridCol w:w="1725"/>
        <w:gridCol w:w="3675"/>
        <w:gridCol w:w="3240"/>
        <w:gridCol w:w="3165"/>
      </w:tblGrid>
      <w:tr w:rsidR="004E7D69" w14:paraId="6267E0A1" w14:textId="77777777">
        <w:tc>
          <w:tcPr>
            <w:tcW w:w="2100" w:type="dxa"/>
            <w:shd w:val="clear" w:color="auto" w:fill="93C47D"/>
            <w:tcMar>
              <w:top w:w="100" w:type="dxa"/>
              <w:left w:w="100" w:type="dxa"/>
              <w:bottom w:w="100" w:type="dxa"/>
              <w:right w:w="100" w:type="dxa"/>
            </w:tcMar>
          </w:tcPr>
          <w:p w14:paraId="0A17AF54"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2250" w:type="dxa"/>
            <w:shd w:val="clear" w:color="auto" w:fill="93C47D"/>
            <w:tcMar>
              <w:top w:w="100" w:type="dxa"/>
              <w:left w:w="100" w:type="dxa"/>
              <w:bottom w:w="100" w:type="dxa"/>
              <w:right w:w="100" w:type="dxa"/>
            </w:tcMar>
          </w:tcPr>
          <w:p w14:paraId="49ADCF34"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725" w:type="dxa"/>
            <w:shd w:val="clear" w:color="auto" w:fill="93C47D"/>
            <w:tcMar>
              <w:top w:w="100" w:type="dxa"/>
              <w:left w:w="100" w:type="dxa"/>
              <w:bottom w:w="100" w:type="dxa"/>
              <w:right w:w="100" w:type="dxa"/>
            </w:tcMar>
          </w:tcPr>
          <w:p w14:paraId="2BF2E5BE"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675" w:type="dxa"/>
            <w:shd w:val="clear" w:color="auto" w:fill="93C47D"/>
            <w:tcMar>
              <w:top w:w="100" w:type="dxa"/>
              <w:left w:w="100" w:type="dxa"/>
              <w:bottom w:w="100" w:type="dxa"/>
              <w:right w:w="100" w:type="dxa"/>
            </w:tcMar>
          </w:tcPr>
          <w:p w14:paraId="20647A6C"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240" w:type="dxa"/>
            <w:shd w:val="clear" w:color="auto" w:fill="93C47D"/>
            <w:tcMar>
              <w:top w:w="100" w:type="dxa"/>
              <w:left w:w="100" w:type="dxa"/>
              <w:bottom w:w="100" w:type="dxa"/>
              <w:right w:w="100" w:type="dxa"/>
            </w:tcMar>
          </w:tcPr>
          <w:p w14:paraId="49B95740"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tc>
        <w:tc>
          <w:tcPr>
            <w:tcW w:w="3165" w:type="dxa"/>
            <w:shd w:val="clear" w:color="auto" w:fill="93C47D"/>
            <w:tcMar>
              <w:top w:w="100" w:type="dxa"/>
              <w:left w:w="100" w:type="dxa"/>
              <w:bottom w:w="100" w:type="dxa"/>
              <w:right w:w="100" w:type="dxa"/>
            </w:tcMar>
          </w:tcPr>
          <w:p w14:paraId="6655202B"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color w:val="FF0000"/>
                <w:sz w:val="21"/>
                <w:szCs w:val="21"/>
              </w:rPr>
              <w:t>Recommendation for Third Cycle</w:t>
            </w:r>
            <w:r>
              <w:rPr>
                <w:rFonts w:ascii="Times New Roman" w:eastAsia="Times New Roman" w:hAnsi="Times New Roman" w:cs="Times New Roman"/>
                <w:b/>
                <w:sz w:val="21"/>
                <w:szCs w:val="21"/>
              </w:rPr>
              <w:t xml:space="preserve"> </w:t>
            </w:r>
          </w:p>
          <w:p w14:paraId="6ABFFD5E"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0A61E55F" w14:textId="77777777">
        <w:trPr>
          <w:trHeight w:val="420"/>
        </w:trPr>
        <w:tc>
          <w:tcPr>
            <w:tcW w:w="16155" w:type="dxa"/>
            <w:gridSpan w:val="6"/>
            <w:shd w:val="clear" w:color="auto" w:fill="D9EAD3"/>
            <w:tcMar>
              <w:top w:w="100" w:type="dxa"/>
              <w:left w:w="100" w:type="dxa"/>
              <w:bottom w:w="100" w:type="dxa"/>
              <w:right w:w="100" w:type="dxa"/>
            </w:tcMar>
          </w:tcPr>
          <w:p w14:paraId="46216664"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D7 Right to participation in public affairs and right to vote</w:t>
            </w:r>
          </w:p>
        </w:tc>
      </w:tr>
      <w:tr w:rsidR="004E7D69" w14:paraId="6207A952" w14:textId="77777777">
        <w:trPr>
          <w:trHeight w:val="447"/>
        </w:trPr>
        <w:tc>
          <w:tcPr>
            <w:tcW w:w="2100" w:type="dxa"/>
            <w:shd w:val="clear" w:color="auto" w:fill="auto"/>
            <w:tcMar>
              <w:top w:w="100" w:type="dxa"/>
              <w:left w:w="100" w:type="dxa"/>
              <w:bottom w:w="100" w:type="dxa"/>
              <w:right w:w="100" w:type="dxa"/>
            </w:tcMar>
          </w:tcPr>
          <w:p w14:paraId="68A91539"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166.207 Establish an independent electoral commission with a mandate to determine constituency boundaries and monitor election fundraising and campaigning (United States of America); </w:t>
            </w:r>
          </w:p>
          <w:p w14:paraId="39A00FE3"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Source of position:</w:t>
            </w:r>
            <w:r>
              <w:rPr>
                <w:rFonts w:ascii="Times New Roman" w:eastAsia="Times New Roman" w:hAnsi="Times New Roman" w:cs="Times New Roman"/>
                <w:sz w:val="21"/>
                <w:szCs w:val="21"/>
              </w:rPr>
              <w:t xml:space="preserve"> A/HRC/32/17/Add.1</w:t>
            </w:r>
          </w:p>
          <w:p w14:paraId="4C8E4BAF" w14:textId="77777777" w:rsidR="004E7D69" w:rsidRDefault="004E7D69">
            <w:pPr>
              <w:spacing w:before="40" w:after="40" w:line="240" w:lineRule="auto"/>
              <w:rPr>
                <w:rFonts w:ascii="Times New Roman" w:eastAsia="Times New Roman" w:hAnsi="Times New Roman" w:cs="Times New Roman"/>
                <w:sz w:val="21"/>
                <w:szCs w:val="21"/>
              </w:rPr>
            </w:pPr>
          </w:p>
        </w:tc>
        <w:tc>
          <w:tcPr>
            <w:tcW w:w="2250" w:type="dxa"/>
            <w:shd w:val="clear" w:color="auto" w:fill="auto"/>
            <w:tcMar>
              <w:top w:w="100" w:type="dxa"/>
              <w:left w:w="100" w:type="dxa"/>
              <w:bottom w:w="100" w:type="dxa"/>
              <w:right w:w="100" w:type="dxa"/>
            </w:tcMar>
          </w:tcPr>
          <w:p w14:paraId="09FA58B6"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D7 Right to participation in public affairs and right to vote</w:t>
            </w:r>
          </w:p>
          <w:p w14:paraId="6429F350"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386842EB"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general </w:t>
            </w:r>
          </w:p>
        </w:tc>
        <w:tc>
          <w:tcPr>
            <w:tcW w:w="1725" w:type="dxa"/>
            <w:shd w:val="clear" w:color="auto" w:fill="auto"/>
            <w:tcMar>
              <w:top w:w="100" w:type="dxa"/>
              <w:left w:w="100" w:type="dxa"/>
              <w:bottom w:w="100" w:type="dxa"/>
              <w:right w:w="100" w:type="dxa"/>
            </w:tcMar>
          </w:tcPr>
          <w:p w14:paraId="12DBF8B5"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Noted</w:t>
            </w:r>
          </w:p>
          <w:p w14:paraId="1BE0E83C" w14:textId="77777777" w:rsidR="004E7D69" w:rsidRDefault="004E7D69">
            <w:pPr>
              <w:spacing w:before="40" w:after="40" w:line="240" w:lineRule="auto"/>
              <w:rPr>
                <w:rFonts w:ascii="Times New Roman" w:eastAsia="Times New Roman" w:hAnsi="Times New Roman" w:cs="Times New Roman"/>
                <w:sz w:val="21"/>
                <w:szCs w:val="21"/>
              </w:rPr>
            </w:pPr>
          </w:p>
        </w:tc>
        <w:tc>
          <w:tcPr>
            <w:tcW w:w="3675" w:type="dxa"/>
            <w:shd w:val="clear" w:color="auto" w:fill="auto"/>
            <w:tcMar>
              <w:top w:w="100" w:type="dxa"/>
              <w:left w:w="100" w:type="dxa"/>
              <w:bottom w:w="100" w:type="dxa"/>
              <w:right w:w="100" w:type="dxa"/>
            </w:tcMar>
          </w:tcPr>
          <w:p w14:paraId="1E3A0D48" w14:textId="77777777" w:rsidR="004E7D69" w:rsidRDefault="00AA4EE0">
            <w:pPr>
              <w:numPr>
                <w:ilvl w:val="0"/>
                <w:numId w:val="6"/>
              </w:numPr>
              <w:rPr>
                <w:rFonts w:ascii="Times New Roman" w:eastAsia="Times New Roman" w:hAnsi="Times New Roman" w:cs="Times New Roman"/>
                <w:sz w:val="21"/>
                <w:szCs w:val="21"/>
              </w:rPr>
            </w:pPr>
            <w:r>
              <w:rPr>
                <w:rFonts w:ascii="Times New Roman" w:eastAsia="Times New Roman" w:hAnsi="Times New Roman" w:cs="Times New Roman"/>
                <w:sz w:val="21"/>
                <w:szCs w:val="21"/>
              </w:rPr>
              <w:t>In 2020, changes to electoral boundaries were released while Singapore was still in its  lockdown, called a "Circuit Breaker", caused by the COVID-19 pandemic</w:t>
            </w:r>
            <w:r>
              <w:rPr>
                <w:rFonts w:ascii="Times New Roman" w:eastAsia="Times New Roman" w:hAnsi="Times New Roman" w:cs="Times New Roman"/>
                <w:sz w:val="21"/>
                <w:szCs w:val="21"/>
              </w:rPr>
              <w:t>.</w:t>
            </w:r>
          </w:p>
          <w:p w14:paraId="341C4193" w14:textId="77777777" w:rsidR="004E7D69" w:rsidRDefault="004E7D69">
            <w:pPr>
              <w:ind w:left="720"/>
              <w:rPr>
                <w:rFonts w:ascii="Times New Roman" w:eastAsia="Times New Roman" w:hAnsi="Times New Roman" w:cs="Times New Roman"/>
                <w:sz w:val="21"/>
                <w:szCs w:val="21"/>
              </w:rPr>
            </w:pPr>
          </w:p>
          <w:p w14:paraId="3B0C63A4" w14:textId="77777777" w:rsidR="004E7D69" w:rsidRDefault="00AA4EE0">
            <w:pPr>
              <w:numPr>
                <w:ilvl w:val="0"/>
                <w:numId w:val="6"/>
              </w:numPr>
              <w:rPr>
                <w:rFonts w:ascii="Times New Roman" w:eastAsia="Times New Roman" w:hAnsi="Times New Roman" w:cs="Times New Roman"/>
                <w:sz w:val="21"/>
                <w:szCs w:val="21"/>
              </w:rPr>
            </w:pPr>
            <w:r>
              <w:rPr>
                <w:rFonts w:ascii="Times New Roman" w:eastAsia="Times New Roman" w:hAnsi="Times New Roman" w:cs="Times New Roman"/>
                <w:sz w:val="21"/>
                <w:szCs w:val="21"/>
              </w:rPr>
              <w:t>The government implemented Constituency Political Broadcast (CPBs) to give parties and candidates more airtime to put their messages out to voters. But independent candidates and political parties fielding fewer than six candidates were not eligible for</w:t>
            </w:r>
            <w:r>
              <w:rPr>
                <w:rFonts w:ascii="Times New Roman" w:eastAsia="Times New Roman" w:hAnsi="Times New Roman" w:cs="Times New Roman"/>
                <w:sz w:val="21"/>
                <w:szCs w:val="21"/>
              </w:rPr>
              <w:t xml:space="preserve"> party political </w:t>
            </w:r>
            <w:r>
              <w:rPr>
                <w:rFonts w:ascii="Times New Roman" w:eastAsia="Times New Roman" w:hAnsi="Times New Roman" w:cs="Times New Roman"/>
                <w:sz w:val="21"/>
                <w:szCs w:val="21"/>
              </w:rPr>
              <w:lastRenderedPageBreak/>
              <w:t xml:space="preserve">broadcasts. This limits the avenues available for alternative voices to bring their messages across to the public. The amount of airtime allocated to each party is also dependent on the number of fielded candidates, which gives the ruling </w:t>
            </w:r>
            <w:r>
              <w:rPr>
                <w:rFonts w:ascii="Times New Roman" w:eastAsia="Times New Roman" w:hAnsi="Times New Roman" w:cs="Times New Roman"/>
                <w:sz w:val="21"/>
                <w:szCs w:val="21"/>
              </w:rPr>
              <w:t>People’s Action Party (PAP),  a significantly longer allocation in time compared to other political parties with fewer candidates</w:t>
            </w:r>
            <w:r>
              <w:rPr>
                <w:rFonts w:ascii="Times New Roman" w:eastAsia="Times New Roman" w:hAnsi="Times New Roman" w:cs="Times New Roman"/>
                <w:sz w:val="21"/>
                <w:szCs w:val="21"/>
                <w:vertAlign w:val="superscript"/>
              </w:rPr>
              <w:footnoteReference w:id="20"/>
            </w:r>
            <w:r>
              <w:rPr>
                <w:rFonts w:ascii="Times New Roman" w:eastAsia="Times New Roman" w:hAnsi="Times New Roman" w:cs="Times New Roman"/>
                <w:sz w:val="21"/>
                <w:szCs w:val="21"/>
              </w:rPr>
              <w:t xml:space="preserve">. </w:t>
            </w:r>
          </w:p>
        </w:tc>
        <w:tc>
          <w:tcPr>
            <w:tcW w:w="3240" w:type="dxa"/>
            <w:shd w:val="clear" w:color="auto" w:fill="auto"/>
            <w:tcMar>
              <w:top w:w="100" w:type="dxa"/>
              <w:left w:w="100" w:type="dxa"/>
              <w:bottom w:w="100" w:type="dxa"/>
              <w:right w:w="100" w:type="dxa"/>
            </w:tcMar>
          </w:tcPr>
          <w:p w14:paraId="6557701B" w14:textId="77777777" w:rsidR="004E7D69" w:rsidRDefault="00AA4EE0">
            <w:pPr>
              <w:widowControl w:val="0"/>
              <w:numPr>
                <w:ilvl w:val="0"/>
                <w:numId w:val="17"/>
              </w:num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 xml:space="preserve">Similar to third cycle recommendation </w:t>
            </w:r>
          </w:p>
        </w:tc>
        <w:tc>
          <w:tcPr>
            <w:tcW w:w="3165" w:type="dxa"/>
            <w:shd w:val="clear" w:color="auto" w:fill="auto"/>
            <w:tcMar>
              <w:top w:w="100" w:type="dxa"/>
              <w:left w:w="100" w:type="dxa"/>
              <w:bottom w:w="100" w:type="dxa"/>
              <w:right w:w="100" w:type="dxa"/>
            </w:tcMar>
          </w:tcPr>
          <w:p w14:paraId="66749A5E" w14:textId="77777777" w:rsidR="004E7D69" w:rsidRDefault="00AA4EE0">
            <w:pPr>
              <w:numPr>
                <w:ilvl w:val="0"/>
                <w:numId w:val="7"/>
              </w:numPr>
              <w:rPr>
                <w:rFonts w:ascii="Times New Roman" w:eastAsia="Times New Roman" w:hAnsi="Times New Roman" w:cs="Times New Roman"/>
                <w:sz w:val="21"/>
                <w:szCs w:val="21"/>
              </w:rPr>
            </w:pPr>
            <w:r>
              <w:rPr>
                <w:rFonts w:ascii="Times New Roman" w:eastAsia="Times New Roman" w:hAnsi="Times New Roman" w:cs="Times New Roman"/>
                <w:sz w:val="21"/>
                <w:szCs w:val="21"/>
              </w:rPr>
              <w:t>While we understand that the pandemic is an evolving situation and a certain degree</w:t>
            </w:r>
            <w:r>
              <w:rPr>
                <w:rFonts w:ascii="Times New Roman" w:eastAsia="Times New Roman" w:hAnsi="Times New Roman" w:cs="Times New Roman"/>
                <w:sz w:val="21"/>
                <w:szCs w:val="21"/>
              </w:rPr>
              <w:t xml:space="preserve"> of uncertainty is inevitable, we still note the unequal access to information between the ruling party and opposition parties in terms of changes to electoral boundaries and campaigning rules. We recommend that </w:t>
            </w:r>
            <w:r>
              <w:rPr>
                <w:rFonts w:ascii="Times New Roman" w:eastAsia="Times New Roman" w:hAnsi="Times New Roman" w:cs="Times New Roman"/>
                <w:color w:val="FF0000"/>
                <w:sz w:val="21"/>
                <w:szCs w:val="21"/>
              </w:rPr>
              <w:t>decision-making processes be made transparen</w:t>
            </w:r>
            <w:r>
              <w:rPr>
                <w:rFonts w:ascii="Times New Roman" w:eastAsia="Times New Roman" w:hAnsi="Times New Roman" w:cs="Times New Roman"/>
                <w:color w:val="FF0000"/>
                <w:sz w:val="21"/>
                <w:szCs w:val="21"/>
              </w:rPr>
              <w:t xml:space="preserve">t to level the playing ground </w:t>
            </w:r>
            <w:r>
              <w:rPr>
                <w:rFonts w:ascii="Times New Roman" w:eastAsia="Times New Roman" w:hAnsi="Times New Roman" w:cs="Times New Roman"/>
                <w:sz w:val="21"/>
                <w:szCs w:val="21"/>
              </w:rPr>
              <w:lastRenderedPageBreak/>
              <w:t xml:space="preserve">between the ruling party and opposition parties and that the </w:t>
            </w:r>
            <w:r w:rsidRPr="004B6C85">
              <w:rPr>
                <w:rFonts w:ascii="Times New Roman" w:eastAsia="Times New Roman" w:hAnsi="Times New Roman" w:cs="Times New Roman"/>
                <w:color w:val="FF0000"/>
                <w:sz w:val="21"/>
                <w:szCs w:val="21"/>
              </w:rPr>
              <w:t>Elections Department becomes an independent entity</w:t>
            </w:r>
            <w:r>
              <w:rPr>
                <w:rFonts w:ascii="Times New Roman" w:eastAsia="Times New Roman" w:hAnsi="Times New Roman" w:cs="Times New Roman"/>
                <w:sz w:val="21"/>
                <w:szCs w:val="21"/>
              </w:rPr>
              <w:t>, not be in the Prime Minister’s Office.</w:t>
            </w:r>
          </w:p>
          <w:p w14:paraId="2252EAD5" w14:textId="77777777" w:rsidR="004E7D69" w:rsidRDefault="004E7D69">
            <w:pPr>
              <w:rPr>
                <w:rFonts w:ascii="Times New Roman" w:eastAsia="Times New Roman" w:hAnsi="Times New Roman" w:cs="Times New Roman"/>
                <w:sz w:val="21"/>
                <w:szCs w:val="21"/>
              </w:rPr>
            </w:pPr>
          </w:p>
        </w:tc>
      </w:tr>
    </w:tbl>
    <w:p w14:paraId="5AF7949E" w14:textId="77777777" w:rsidR="004E7D69" w:rsidRDefault="004E7D69">
      <w:pPr>
        <w:rPr>
          <w:rFonts w:ascii="Times New Roman" w:eastAsia="Times New Roman" w:hAnsi="Times New Roman" w:cs="Times New Roman"/>
          <w:sz w:val="21"/>
          <w:szCs w:val="21"/>
        </w:rPr>
      </w:pPr>
    </w:p>
    <w:p w14:paraId="670D4577" w14:textId="77777777" w:rsidR="004E7D69" w:rsidRDefault="004E7D69">
      <w:pPr>
        <w:rPr>
          <w:rFonts w:ascii="Times New Roman" w:eastAsia="Times New Roman" w:hAnsi="Times New Roman" w:cs="Times New Roman"/>
          <w:sz w:val="21"/>
          <w:szCs w:val="21"/>
        </w:rPr>
      </w:pPr>
    </w:p>
    <w:tbl>
      <w:tblPr>
        <w:tblStyle w:val="a7"/>
        <w:tblW w:w="1615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280"/>
        <w:gridCol w:w="1710"/>
        <w:gridCol w:w="3645"/>
        <w:gridCol w:w="3255"/>
        <w:gridCol w:w="3165"/>
      </w:tblGrid>
      <w:tr w:rsidR="004E7D69" w14:paraId="1F08B5CA" w14:textId="77777777">
        <w:tc>
          <w:tcPr>
            <w:tcW w:w="2100" w:type="dxa"/>
            <w:shd w:val="clear" w:color="auto" w:fill="93C47D"/>
            <w:tcMar>
              <w:top w:w="100" w:type="dxa"/>
              <w:left w:w="100" w:type="dxa"/>
              <w:bottom w:w="100" w:type="dxa"/>
              <w:right w:w="100" w:type="dxa"/>
            </w:tcMar>
          </w:tcPr>
          <w:p w14:paraId="032EDECB"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Second Cycle </w:t>
            </w:r>
          </w:p>
        </w:tc>
        <w:tc>
          <w:tcPr>
            <w:tcW w:w="2280" w:type="dxa"/>
            <w:shd w:val="clear" w:color="auto" w:fill="93C47D"/>
            <w:tcMar>
              <w:top w:w="100" w:type="dxa"/>
              <w:left w:w="100" w:type="dxa"/>
              <w:bottom w:w="100" w:type="dxa"/>
              <w:right w:w="100" w:type="dxa"/>
            </w:tcMar>
          </w:tcPr>
          <w:p w14:paraId="3825CF30"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Corresponding Themes </w:t>
            </w:r>
          </w:p>
        </w:tc>
        <w:tc>
          <w:tcPr>
            <w:tcW w:w="1710" w:type="dxa"/>
            <w:shd w:val="clear" w:color="auto" w:fill="93C47D"/>
            <w:tcMar>
              <w:top w:w="100" w:type="dxa"/>
              <w:left w:w="100" w:type="dxa"/>
              <w:bottom w:w="100" w:type="dxa"/>
              <w:right w:w="100" w:type="dxa"/>
            </w:tcMar>
          </w:tcPr>
          <w:p w14:paraId="1D8A3C2F"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Position </w:t>
            </w:r>
          </w:p>
        </w:tc>
        <w:tc>
          <w:tcPr>
            <w:tcW w:w="3645" w:type="dxa"/>
            <w:shd w:val="clear" w:color="auto" w:fill="93C47D"/>
            <w:tcMar>
              <w:top w:w="100" w:type="dxa"/>
              <w:left w:w="100" w:type="dxa"/>
              <w:bottom w:w="100" w:type="dxa"/>
              <w:right w:w="100" w:type="dxa"/>
            </w:tcMar>
          </w:tcPr>
          <w:p w14:paraId="5B339616"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Assessment/comments on level of implementation</w:t>
            </w:r>
          </w:p>
        </w:tc>
        <w:tc>
          <w:tcPr>
            <w:tcW w:w="3255" w:type="dxa"/>
            <w:shd w:val="clear" w:color="auto" w:fill="93C47D"/>
            <w:tcMar>
              <w:top w:w="100" w:type="dxa"/>
              <w:left w:w="100" w:type="dxa"/>
              <w:bottom w:w="100" w:type="dxa"/>
              <w:right w:w="100" w:type="dxa"/>
            </w:tcMar>
          </w:tcPr>
          <w:p w14:paraId="6511C0FA" w14:textId="77777777" w:rsidR="004E7D69" w:rsidRDefault="00AA4EE0">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Recommendation from Mid-Term Report  </w:t>
            </w:r>
          </w:p>
        </w:tc>
        <w:tc>
          <w:tcPr>
            <w:tcW w:w="3165" w:type="dxa"/>
            <w:shd w:val="clear" w:color="auto" w:fill="93C47D"/>
            <w:tcMar>
              <w:top w:w="100" w:type="dxa"/>
              <w:left w:w="100" w:type="dxa"/>
              <w:bottom w:w="100" w:type="dxa"/>
              <w:right w:w="100" w:type="dxa"/>
            </w:tcMar>
          </w:tcPr>
          <w:p w14:paraId="752521BD" w14:textId="77777777" w:rsidR="004E7D69" w:rsidRDefault="00AA4EE0">
            <w:pPr>
              <w:widowControl w:val="0"/>
              <w:spacing w:line="240" w:lineRule="auto"/>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Recommendation for Third Cycle </w:t>
            </w:r>
          </w:p>
          <w:p w14:paraId="2C8C5795" w14:textId="77777777" w:rsidR="004E7D69" w:rsidRDefault="004E7D69">
            <w:pPr>
              <w:widowControl w:val="0"/>
              <w:spacing w:line="240" w:lineRule="auto"/>
              <w:rPr>
                <w:rFonts w:ascii="Times New Roman" w:eastAsia="Times New Roman" w:hAnsi="Times New Roman" w:cs="Times New Roman"/>
                <w:b/>
                <w:sz w:val="21"/>
                <w:szCs w:val="21"/>
              </w:rPr>
            </w:pPr>
          </w:p>
        </w:tc>
      </w:tr>
      <w:tr w:rsidR="004E7D69" w14:paraId="32B78B95" w14:textId="77777777">
        <w:trPr>
          <w:trHeight w:val="420"/>
        </w:trPr>
        <w:tc>
          <w:tcPr>
            <w:tcW w:w="16155" w:type="dxa"/>
            <w:gridSpan w:val="6"/>
            <w:shd w:val="clear" w:color="auto" w:fill="D9EAD3"/>
            <w:tcMar>
              <w:top w:w="100" w:type="dxa"/>
              <w:left w:w="100" w:type="dxa"/>
              <w:bottom w:w="100" w:type="dxa"/>
              <w:right w:w="100" w:type="dxa"/>
            </w:tcMar>
          </w:tcPr>
          <w:p w14:paraId="2C32C4E0" w14:textId="77777777" w:rsidR="004E7D69" w:rsidRDefault="00AA4EE0">
            <w:pPr>
              <w:spacing w:before="40" w:after="40"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Theme: F34 Children: Juvenile justice</w:t>
            </w:r>
          </w:p>
        </w:tc>
      </w:tr>
      <w:tr w:rsidR="004E7D69" w14:paraId="0E5DC22E" w14:textId="77777777">
        <w:trPr>
          <w:trHeight w:val="447"/>
        </w:trPr>
        <w:tc>
          <w:tcPr>
            <w:tcW w:w="2100" w:type="dxa"/>
            <w:shd w:val="clear" w:color="auto" w:fill="auto"/>
            <w:tcMar>
              <w:top w:w="100" w:type="dxa"/>
              <w:left w:w="100" w:type="dxa"/>
              <w:bottom w:w="100" w:type="dxa"/>
              <w:right w:w="100" w:type="dxa"/>
            </w:tcMar>
          </w:tcPr>
          <w:p w14:paraId="4672B489"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166.196 Harmonize domestic law regarding the minimum age of criminal responsibility, and raise it (Uruguay); </w:t>
            </w:r>
          </w:p>
          <w:p w14:paraId="3984CAB4"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Source of position:</w:t>
            </w:r>
            <w:r>
              <w:rPr>
                <w:rFonts w:ascii="Times New Roman" w:eastAsia="Times New Roman" w:hAnsi="Times New Roman" w:cs="Times New Roman"/>
                <w:sz w:val="21"/>
                <w:szCs w:val="21"/>
              </w:rPr>
              <w:t xml:space="preserve"> A/HRC/32/17/Add.1</w:t>
            </w:r>
          </w:p>
        </w:tc>
        <w:tc>
          <w:tcPr>
            <w:tcW w:w="2280" w:type="dxa"/>
            <w:shd w:val="clear" w:color="auto" w:fill="auto"/>
            <w:tcMar>
              <w:top w:w="100" w:type="dxa"/>
              <w:left w:w="100" w:type="dxa"/>
              <w:bottom w:w="100" w:type="dxa"/>
              <w:right w:w="100" w:type="dxa"/>
            </w:tcMar>
          </w:tcPr>
          <w:p w14:paraId="36613A8D"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F34 Children: Juvenile justice</w:t>
            </w:r>
          </w:p>
          <w:p w14:paraId="4B1000EC"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Affected persons:</w:t>
            </w:r>
          </w:p>
          <w:p w14:paraId="4000456F" w14:textId="77777777" w:rsidR="004E7D69" w:rsidRDefault="00AA4EE0">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children</w:t>
            </w:r>
          </w:p>
        </w:tc>
        <w:tc>
          <w:tcPr>
            <w:tcW w:w="1710" w:type="dxa"/>
            <w:shd w:val="clear" w:color="auto" w:fill="auto"/>
            <w:tcMar>
              <w:top w:w="100" w:type="dxa"/>
              <w:left w:w="100" w:type="dxa"/>
              <w:bottom w:w="100" w:type="dxa"/>
              <w:right w:w="100" w:type="dxa"/>
            </w:tcMar>
          </w:tcPr>
          <w:p w14:paraId="65749C26" w14:textId="77777777" w:rsidR="004E7D69" w:rsidRDefault="00AA4EE0">
            <w:pPr>
              <w:spacing w:before="40" w:after="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Noted </w:t>
            </w:r>
          </w:p>
        </w:tc>
        <w:tc>
          <w:tcPr>
            <w:tcW w:w="3645" w:type="dxa"/>
            <w:shd w:val="clear" w:color="auto" w:fill="auto"/>
            <w:tcMar>
              <w:top w:w="100" w:type="dxa"/>
              <w:left w:w="100" w:type="dxa"/>
              <w:bottom w:w="100" w:type="dxa"/>
              <w:right w:w="100" w:type="dxa"/>
            </w:tcMar>
          </w:tcPr>
          <w:p w14:paraId="45973C11" w14:textId="77777777" w:rsidR="004E7D69" w:rsidRDefault="00AA4EE0">
            <w:pPr>
              <w:numPr>
                <w:ilvl w:val="0"/>
                <w:numId w:val="6"/>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Singapore still has not made much progress with regards to  the minimum legal working age of 13 years old and the minimum age of criminal responsibility of 7 years old, </w:t>
            </w:r>
            <w:r>
              <w:rPr>
                <w:rFonts w:ascii="Times New Roman" w:eastAsia="Times New Roman" w:hAnsi="Times New Roman" w:cs="Times New Roman"/>
                <w:sz w:val="21"/>
                <w:szCs w:val="21"/>
              </w:rPr>
              <w:lastRenderedPageBreak/>
              <w:t>issues which were previously highlighted</w:t>
            </w:r>
            <w:r>
              <w:rPr>
                <w:rFonts w:ascii="Times New Roman" w:eastAsia="Times New Roman" w:hAnsi="Times New Roman" w:cs="Times New Roman"/>
                <w:sz w:val="21"/>
                <w:szCs w:val="21"/>
                <w:vertAlign w:val="superscript"/>
              </w:rPr>
              <w:footnoteReference w:id="21"/>
            </w:r>
            <w:r>
              <w:rPr>
                <w:rFonts w:ascii="Times New Roman" w:eastAsia="Times New Roman" w:hAnsi="Times New Roman" w:cs="Times New Roman"/>
                <w:sz w:val="21"/>
                <w:szCs w:val="21"/>
              </w:rPr>
              <w:t xml:space="preserve">. </w:t>
            </w:r>
          </w:p>
        </w:tc>
        <w:tc>
          <w:tcPr>
            <w:tcW w:w="3255" w:type="dxa"/>
            <w:shd w:val="clear" w:color="auto" w:fill="auto"/>
            <w:tcMar>
              <w:top w:w="100" w:type="dxa"/>
              <w:left w:w="100" w:type="dxa"/>
              <w:bottom w:w="100" w:type="dxa"/>
              <w:right w:w="100" w:type="dxa"/>
            </w:tcMar>
          </w:tcPr>
          <w:p w14:paraId="55E81EFB" w14:textId="77777777" w:rsidR="004E7D69" w:rsidRDefault="00AA4EE0">
            <w:pPr>
              <w:widowControl w:val="0"/>
              <w:numPr>
                <w:ilvl w:val="0"/>
                <w:numId w:val="17"/>
              </w:num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 xml:space="preserve">Similar to third cycle recommendation </w:t>
            </w:r>
          </w:p>
        </w:tc>
        <w:tc>
          <w:tcPr>
            <w:tcW w:w="3165" w:type="dxa"/>
            <w:shd w:val="clear" w:color="auto" w:fill="auto"/>
            <w:tcMar>
              <w:top w:w="100" w:type="dxa"/>
              <w:left w:w="100" w:type="dxa"/>
              <w:bottom w:w="100" w:type="dxa"/>
              <w:right w:w="100" w:type="dxa"/>
            </w:tcMar>
          </w:tcPr>
          <w:p w14:paraId="44F975F9" w14:textId="77777777" w:rsidR="004E7D69" w:rsidRDefault="00AA4EE0">
            <w:pPr>
              <w:numPr>
                <w:ilvl w:val="0"/>
                <w:numId w:val="7"/>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continue to reiterate our recommendations on the </w:t>
            </w:r>
            <w:r>
              <w:rPr>
                <w:rFonts w:ascii="Times New Roman" w:eastAsia="Times New Roman" w:hAnsi="Times New Roman" w:cs="Times New Roman"/>
                <w:color w:val="FF0000"/>
                <w:sz w:val="21"/>
                <w:szCs w:val="21"/>
              </w:rPr>
              <w:t xml:space="preserve">minimum working age </w:t>
            </w:r>
            <w:r>
              <w:rPr>
                <w:rFonts w:ascii="Times New Roman" w:eastAsia="Times New Roman" w:hAnsi="Times New Roman" w:cs="Times New Roman"/>
                <w:sz w:val="21"/>
                <w:szCs w:val="21"/>
              </w:rPr>
              <w:t xml:space="preserve">and </w:t>
            </w:r>
            <w:r>
              <w:rPr>
                <w:rFonts w:ascii="Times New Roman" w:eastAsia="Times New Roman" w:hAnsi="Times New Roman" w:cs="Times New Roman"/>
                <w:color w:val="FF0000"/>
                <w:sz w:val="21"/>
                <w:szCs w:val="21"/>
              </w:rPr>
              <w:t>age of criminal responsibility</w:t>
            </w:r>
            <w:r>
              <w:rPr>
                <w:rFonts w:ascii="Times New Roman" w:eastAsia="Times New Roman" w:hAnsi="Times New Roman" w:cs="Times New Roman"/>
                <w:sz w:val="21"/>
                <w:szCs w:val="21"/>
              </w:rPr>
              <w:t>,</w:t>
            </w:r>
            <w:r>
              <w:rPr>
                <w:rFonts w:ascii="Times New Roman" w:eastAsia="Times New Roman" w:hAnsi="Times New Roman" w:cs="Times New Roman"/>
                <w:color w:val="FF0000"/>
                <w:sz w:val="21"/>
                <w:szCs w:val="21"/>
              </w:rPr>
              <w:t xml:space="preserve"> abolish the death penalty</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FF0000"/>
                <w:sz w:val="21"/>
                <w:szCs w:val="21"/>
              </w:rPr>
              <w:t>be transparent,</w:t>
            </w:r>
            <w:r>
              <w:rPr>
                <w:rFonts w:ascii="Times New Roman" w:eastAsia="Times New Roman" w:hAnsi="Times New Roman" w:cs="Times New Roman"/>
                <w:sz w:val="21"/>
                <w:szCs w:val="21"/>
              </w:rPr>
              <w:t xml:space="preserve"> giving </w:t>
            </w:r>
            <w:r>
              <w:rPr>
                <w:rFonts w:ascii="Times New Roman" w:eastAsia="Times New Roman" w:hAnsi="Times New Roman" w:cs="Times New Roman"/>
                <w:color w:val="FF0000"/>
                <w:sz w:val="21"/>
                <w:szCs w:val="21"/>
              </w:rPr>
              <w:t xml:space="preserve">access </w:t>
            </w:r>
            <w:r>
              <w:rPr>
                <w:rFonts w:ascii="Times New Roman" w:eastAsia="Times New Roman" w:hAnsi="Times New Roman" w:cs="Times New Roman"/>
                <w:color w:val="FF0000"/>
                <w:sz w:val="21"/>
                <w:szCs w:val="21"/>
              </w:rPr>
              <w:lastRenderedPageBreak/>
              <w:t>to information</w:t>
            </w:r>
            <w:r>
              <w:rPr>
                <w:rFonts w:ascii="Times New Roman" w:eastAsia="Times New Roman" w:hAnsi="Times New Roman" w:cs="Times New Roman"/>
                <w:sz w:val="21"/>
                <w:szCs w:val="21"/>
              </w:rPr>
              <w:t xml:space="preserve"> and </w:t>
            </w:r>
            <w:r>
              <w:rPr>
                <w:rFonts w:ascii="Times New Roman" w:eastAsia="Times New Roman" w:hAnsi="Times New Roman" w:cs="Times New Roman"/>
                <w:color w:val="FF0000"/>
                <w:sz w:val="21"/>
                <w:szCs w:val="21"/>
              </w:rPr>
              <w:t>respecting the families of those to be hanged</w:t>
            </w:r>
            <w:r>
              <w:rPr>
                <w:rFonts w:ascii="Times New Roman" w:eastAsia="Times New Roman" w:hAnsi="Times New Roman" w:cs="Times New Roman"/>
                <w:sz w:val="21"/>
                <w:szCs w:val="21"/>
              </w:rPr>
              <w:t>.</w:t>
            </w:r>
          </w:p>
          <w:p w14:paraId="312FB5CA" w14:textId="77777777" w:rsidR="004E7D69" w:rsidRDefault="004E7D69">
            <w:pPr>
              <w:ind w:left="720"/>
              <w:rPr>
                <w:rFonts w:ascii="Times New Roman" w:eastAsia="Times New Roman" w:hAnsi="Times New Roman" w:cs="Times New Roman"/>
                <w:sz w:val="21"/>
                <w:szCs w:val="21"/>
              </w:rPr>
            </w:pPr>
          </w:p>
        </w:tc>
      </w:tr>
    </w:tbl>
    <w:p w14:paraId="3DEF103D" w14:textId="77777777" w:rsidR="004E7D69" w:rsidRDefault="004E7D69">
      <w:pPr>
        <w:rPr>
          <w:rFonts w:ascii="Times New Roman" w:eastAsia="Times New Roman" w:hAnsi="Times New Roman" w:cs="Times New Roman"/>
          <w:sz w:val="21"/>
          <w:szCs w:val="21"/>
        </w:rPr>
      </w:pPr>
    </w:p>
    <w:sectPr w:rsidR="004E7D69">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2DFB" w14:textId="77777777" w:rsidR="00AA4EE0" w:rsidRDefault="00AA4EE0">
      <w:pPr>
        <w:spacing w:line="240" w:lineRule="auto"/>
      </w:pPr>
      <w:r>
        <w:separator/>
      </w:r>
    </w:p>
  </w:endnote>
  <w:endnote w:type="continuationSeparator" w:id="0">
    <w:p w14:paraId="429F734E" w14:textId="77777777" w:rsidR="00AA4EE0" w:rsidRDefault="00AA4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0A56" w14:textId="77777777" w:rsidR="00AA4EE0" w:rsidRDefault="00AA4EE0">
      <w:pPr>
        <w:spacing w:line="240" w:lineRule="auto"/>
      </w:pPr>
      <w:r>
        <w:separator/>
      </w:r>
    </w:p>
  </w:footnote>
  <w:footnote w:type="continuationSeparator" w:id="0">
    <w:p w14:paraId="15BB052B" w14:textId="77777777" w:rsidR="00AA4EE0" w:rsidRDefault="00AA4EE0">
      <w:pPr>
        <w:spacing w:line="240" w:lineRule="auto"/>
      </w:pPr>
      <w:r>
        <w:continuationSeparator/>
      </w:r>
    </w:p>
  </w:footnote>
  <w:footnote w:id="1">
    <w:p w14:paraId="568A9691" w14:textId="77777777" w:rsidR="004E7D69" w:rsidRDefault="00AA4EE0">
      <w:pPr>
        <w:spacing w:line="240" w:lineRule="auto"/>
        <w:rPr>
          <w:color w:val="323232"/>
          <w:sz w:val="20"/>
          <w:szCs w:val="20"/>
          <w:highlight w:val="white"/>
        </w:rPr>
      </w:pPr>
      <w:r>
        <w:rPr>
          <w:vertAlign w:val="superscript"/>
        </w:rPr>
        <w:footnoteRef/>
      </w:r>
      <w:r>
        <w:rPr>
          <w:sz w:val="20"/>
          <w:szCs w:val="20"/>
        </w:rPr>
        <w:t xml:space="preserve"> </w:t>
      </w:r>
      <w:r>
        <w:rPr>
          <w:i/>
          <w:color w:val="323232"/>
          <w:sz w:val="20"/>
          <w:szCs w:val="20"/>
        </w:rPr>
        <w:t>Summary of Stakeholders' Information</w:t>
      </w:r>
      <w:r>
        <w:rPr>
          <w:color w:val="323232"/>
          <w:sz w:val="20"/>
          <w:szCs w:val="20"/>
          <w:highlight w:val="white"/>
        </w:rPr>
        <w:t xml:space="preserve"> (pp. 1-14, Rep. No. A/HRC/WG.6/24/SGP/3). (2011). Human Rights Council Working Group on the Universal Periodic Review; </w:t>
      </w:r>
      <w:r>
        <w:rPr>
          <w:color w:val="323232"/>
          <w:sz w:val="20"/>
          <w:szCs w:val="20"/>
        </w:rPr>
        <w:t>Association of Women Action and Research CEDAW Shadow Report</w:t>
      </w:r>
      <w:r>
        <w:rPr>
          <w:color w:val="323232"/>
          <w:sz w:val="20"/>
          <w:szCs w:val="20"/>
          <w:highlight w:val="white"/>
        </w:rPr>
        <w:t xml:space="preserve"> (pp. 1-275, Rep.). (2011). Singapore: A</w:t>
      </w:r>
      <w:r>
        <w:rPr>
          <w:color w:val="323232"/>
          <w:sz w:val="20"/>
          <w:szCs w:val="20"/>
          <w:highlight w:val="white"/>
        </w:rPr>
        <w:t>WARE; Report on CEDAW and the Republic of Singapore "Many Voices, One Movement" Coalition Report of National NGOs (pp. 1-38, Rep.). (2017). Singapore.</w:t>
      </w:r>
    </w:p>
    <w:p w14:paraId="1DBF1969" w14:textId="77777777" w:rsidR="004E7D69" w:rsidRDefault="004E7D69">
      <w:pPr>
        <w:spacing w:line="240" w:lineRule="auto"/>
        <w:rPr>
          <w:sz w:val="20"/>
          <w:szCs w:val="20"/>
        </w:rPr>
      </w:pPr>
    </w:p>
  </w:footnote>
  <w:footnote w:id="2">
    <w:p w14:paraId="473E97BA" w14:textId="77777777" w:rsidR="004E7D69" w:rsidRDefault="00AA4EE0">
      <w:pPr>
        <w:spacing w:line="240" w:lineRule="auto"/>
        <w:rPr>
          <w:sz w:val="20"/>
          <w:szCs w:val="20"/>
        </w:rPr>
      </w:pPr>
      <w:r>
        <w:rPr>
          <w:vertAlign w:val="superscript"/>
        </w:rPr>
        <w:footnoteRef/>
      </w:r>
      <w:r>
        <w:rPr>
          <w:sz w:val="20"/>
          <w:szCs w:val="20"/>
        </w:rPr>
        <w:t xml:space="preserve"> These are most notably: the International Covenant on Civil and Political Rights, the International Co</w:t>
      </w:r>
      <w:r>
        <w:rPr>
          <w:sz w:val="20"/>
          <w:szCs w:val="20"/>
        </w:rPr>
        <w:t xml:space="preserve">nvention on Economic, Social and Cultural Rights; the International Convention on the Protection of the Rights of All Migrant Workers and Members of Their Families, the International Convention on the Elimination of All Forms of Racial Discrimination; and </w:t>
      </w:r>
      <w:r>
        <w:rPr>
          <w:sz w:val="20"/>
          <w:szCs w:val="20"/>
        </w:rPr>
        <w:t>the Optional Protocol to the Convention on the Rights of the Child on the sale of children, The Convention against Torture and Other Cruel, Inhuman or Degrading Treatment or Punishment</w:t>
      </w:r>
    </w:p>
    <w:p w14:paraId="474F9875" w14:textId="77777777" w:rsidR="004E7D69" w:rsidRDefault="004E7D69">
      <w:pPr>
        <w:spacing w:line="240" w:lineRule="auto"/>
        <w:rPr>
          <w:rFonts w:ascii="Times New Roman" w:eastAsia="Times New Roman" w:hAnsi="Times New Roman" w:cs="Times New Roman"/>
          <w:sz w:val="20"/>
          <w:szCs w:val="20"/>
        </w:rPr>
      </w:pPr>
    </w:p>
    <w:bookmarkStart w:id="0" w:name="_gjdgxs" w:colFirst="0" w:colLast="0"/>
    <w:bookmarkEnd w:id="0"/>
  </w:footnote>
  <w:footnote w:id="3">
    <w:p w14:paraId="53988AD5" w14:textId="77777777" w:rsidR="004E7D69" w:rsidRDefault="00AA4EE0">
      <w:pPr>
        <w:spacing w:line="240" w:lineRule="auto"/>
        <w:rPr>
          <w:sz w:val="20"/>
          <w:szCs w:val="20"/>
        </w:rPr>
      </w:pPr>
      <w:bookmarkStart w:id="1" w:name="_gjdgxs" w:colFirst="0" w:colLast="0"/>
      <w:bookmarkEnd w:id="1"/>
      <w:r>
        <w:rPr>
          <w:vertAlign w:val="superscript"/>
        </w:rPr>
        <w:footnoteRef/>
      </w:r>
      <w:r>
        <w:rPr>
          <w:sz w:val="20"/>
          <w:szCs w:val="20"/>
        </w:rPr>
        <w:t xml:space="preserve"> Justice See Kee Oon said, in a case summary released by the court, S</w:t>
      </w:r>
      <w:r>
        <w:rPr>
          <w:sz w:val="20"/>
          <w:szCs w:val="20"/>
        </w:rPr>
        <w:t xml:space="preserve">ection 377A "serves the purpose of safeguarding public morality by showing societal moral disapproval of male homosexual acts". </w:t>
      </w:r>
    </w:p>
    <w:p w14:paraId="1E12EE6A" w14:textId="77777777" w:rsidR="004E7D69" w:rsidRDefault="004E7D69">
      <w:pPr>
        <w:spacing w:line="240" w:lineRule="auto"/>
        <w:rPr>
          <w:sz w:val="20"/>
          <w:szCs w:val="20"/>
        </w:rPr>
      </w:pPr>
    </w:p>
    <w:p w14:paraId="57511499" w14:textId="77777777" w:rsidR="004E7D69" w:rsidRDefault="00AA4EE0">
      <w:pPr>
        <w:spacing w:line="240" w:lineRule="auto"/>
        <w:rPr>
          <w:sz w:val="20"/>
          <w:szCs w:val="20"/>
        </w:rPr>
      </w:pPr>
      <w:r>
        <w:rPr>
          <w:sz w:val="20"/>
          <w:szCs w:val="20"/>
        </w:rPr>
        <w:t xml:space="preserve">Lam, L. (2020, March 30). High Court judge dismisses all three challenges to Section 377A. Retrieved  from: </w:t>
      </w:r>
      <w:hyperlink r:id="rId1">
        <w:r>
          <w:rPr>
            <w:color w:val="1155CC"/>
            <w:sz w:val="20"/>
            <w:szCs w:val="20"/>
            <w:u w:val="single"/>
          </w:rPr>
          <w:t>https://www.channelnewsasia.com/news/singapore/377a-challenge-dismissed-high-court-judge-penal-code-12588738</w:t>
        </w:r>
      </w:hyperlink>
      <w:r>
        <w:rPr>
          <w:color w:val="1155CC"/>
          <w:sz w:val="20"/>
          <w:szCs w:val="20"/>
          <w:u w:val="single"/>
        </w:rPr>
        <w:t xml:space="preserve">. </w:t>
      </w:r>
      <w:r>
        <w:rPr>
          <w:color w:val="1155CC"/>
          <w:sz w:val="20"/>
          <w:szCs w:val="20"/>
        </w:rPr>
        <w:t>Accessed 5 August 20</w:t>
      </w:r>
      <w:r>
        <w:rPr>
          <w:color w:val="1155CC"/>
          <w:sz w:val="20"/>
          <w:szCs w:val="20"/>
        </w:rPr>
        <w:t>20</w:t>
      </w:r>
    </w:p>
    <w:p w14:paraId="5C902558" w14:textId="77777777" w:rsidR="004E7D69" w:rsidRDefault="004E7D69">
      <w:pPr>
        <w:spacing w:line="240" w:lineRule="auto"/>
        <w:rPr>
          <w:sz w:val="20"/>
          <w:szCs w:val="20"/>
        </w:rPr>
      </w:pPr>
    </w:p>
    <w:p w14:paraId="20F59329" w14:textId="77777777" w:rsidR="004E7D69" w:rsidRDefault="004E7D69">
      <w:pPr>
        <w:spacing w:line="240" w:lineRule="auto"/>
        <w:rPr>
          <w:sz w:val="20"/>
          <w:szCs w:val="20"/>
        </w:rPr>
      </w:pPr>
    </w:p>
  </w:footnote>
  <w:footnote w:id="4">
    <w:p w14:paraId="081B5ED8" w14:textId="77777777" w:rsidR="004E7D69" w:rsidRDefault="00AA4EE0">
      <w:pPr>
        <w:spacing w:line="240" w:lineRule="auto"/>
        <w:rPr>
          <w:sz w:val="20"/>
          <w:szCs w:val="20"/>
        </w:rPr>
      </w:pPr>
      <w:r>
        <w:rPr>
          <w:vertAlign w:val="superscript"/>
        </w:rPr>
        <w:footnoteRef/>
      </w:r>
      <w:r>
        <w:rPr>
          <w:sz w:val="20"/>
          <w:szCs w:val="20"/>
        </w:rPr>
        <w:t xml:space="preserve">  Ng, J. (2019, June 26). 377A will be around 'for some time', will not inhibit how S'pore attracts tech talent: PM Lee. Retrieved from: </w:t>
      </w:r>
      <w:hyperlink r:id="rId2">
        <w:r>
          <w:rPr>
            <w:color w:val="1155CC"/>
            <w:sz w:val="20"/>
            <w:szCs w:val="20"/>
            <w:u w:val="single"/>
          </w:rPr>
          <w:t>https://www.todayonline.com/singapore/377a-will-be-around-some-time-will-not-inhibit-how-spore-attracts-tech-talent-pm-lee</w:t>
        </w:r>
      </w:hyperlink>
      <w:r>
        <w:rPr>
          <w:color w:val="1155CC"/>
          <w:sz w:val="20"/>
          <w:szCs w:val="20"/>
          <w:u w:val="single"/>
        </w:rPr>
        <w:t xml:space="preserve">. </w:t>
      </w:r>
      <w:r>
        <w:rPr>
          <w:color w:val="1155CC"/>
          <w:sz w:val="20"/>
          <w:szCs w:val="20"/>
        </w:rPr>
        <w:t>Accessed 5 August 2020</w:t>
      </w:r>
    </w:p>
    <w:p w14:paraId="1D123ADF" w14:textId="77777777" w:rsidR="004E7D69" w:rsidRDefault="004E7D69">
      <w:pPr>
        <w:spacing w:line="240" w:lineRule="auto"/>
        <w:rPr>
          <w:sz w:val="20"/>
          <w:szCs w:val="20"/>
        </w:rPr>
      </w:pPr>
    </w:p>
  </w:footnote>
  <w:footnote w:id="5">
    <w:p w14:paraId="5F692B8A" w14:textId="77777777" w:rsidR="004E7D69" w:rsidRDefault="00AA4EE0">
      <w:pPr>
        <w:spacing w:line="240" w:lineRule="auto"/>
        <w:rPr>
          <w:sz w:val="20"/>
          <w:szCs w:val="20"/>
        </w:rPr>
      </w:pPr>
      <w:r>
        <w:rPr>
          <w:vertAlign w:val="superscript"/>
        </w:rPr>
        <w:footnoteRef/>
      </w:r>
      <w:r>
        <w:rPr>
          <w:sz w:val="20"/>
          <w:szCs w:val="20"/>
        </w:rPr>
        <w:t xml:space="preserve"> In a landmark case in 2018, the High Court granted a gay man to legally adopt</w:t>
      </w:r>
      <w:r>
        <w:rPr>
          <w:sz w:val="20"/>
          <w:szCs w:val="20"/>
        </w:rPr>
        <w:t xml:space="preserve"> his five year old biological son who was born through a surrogate mother in the United States. However, the court emphasized that this decision was ultimately made in the best interest of the child's well-being. Ong, J. (2018, December 17). Gay father per</w:t>
      </w:r>
      <w:r>
        <w:rPr>
          <w:sz w:val="20"/>
          <w:szCs w:val="20"/>
        </w:rPr>
        <w:t xml:space="preserve">mitted to adopt biological son born via surrogacy, in first for Singapore. </w:t>
      </w:r>
    </w:p>
    <w:p w14:paraId="60B8459E" w14:textId="77777777" w:rsidR="004E7D69" w:rsidRDefault="004E7D69">
      <w:pPr>
        <w:spacing w:line="240" w:lineRule="auto"/>
        <w:rPr>
          <w:sz w:val="20"/>
          <w:szCs w:val="20"/>
        </w:rPr>
      </w:pPr>
    </w:p>
    <w:p w14:paraId="18539B3D" w14:textId="77777777" w:rsidR="004E7D69" w:rsidRDefault="00AA4EE0">
      <w:pPr>
        <w:spacing w:line="240" w:lineRule="auto"/>
        <w:rPr>
          <w:sz w:val="20"/>
          <w:szCs w:val="20"/>
        </w:rPr>
      </w:pPr>
      <w:r>
        <w:rPr>
          <w:sz w:val="20"/>
          <w:szCs w:val="20"/>
        </w:rPr>
        <w:t xml:space="preserve">Retrieved from: </w:t>
      </w:r>
      <w:hyperlink r:id="rId3">
        <w:r>
          <w:rPr>
            <w:color w:val="1155CC"/>
            <w:sz w:val="20"/>
            <w:szCs w:val="20"/>
            <w:u w:val="single"/>
          </w:rPr>
          <w:t>https://www.channelnewsasia.com/news/singapore/</w:t>
        </w:r>
        <w:r>
          <w:rPr>
            <w:color w:val="1155CC"/>
            <w:sz w:val="20"/>
            <w:szCs w:val="20"/>
            <w:u w:val="single"/>
          </w:rPr>
          <w:t>gay-father-adopt-surrogate-son-singapore-11039384</w:t>
        </w:r>
      </w:hyperlink>
      <w:r>
        <w:rPr>
          <w:color w:val="1155CC"/>
          <w:sz w:val="20"/>
          <w:szCs w:val="20"/>
          <w:u w:val="single"/>
        </w:rPr>
        <w:t xml:space="preserve">. </w:t>
      </w:r>
      <w:r>
        <w:rPr>
          <w:color w:val="1155CC"/>
          <w:sz w:val="20"/>
          <w:szCs w:val="20"/>
        </w:rPr>
        <w:t>Accessed 5 August 2020</w:t>
      </w:r>
    </w:p>
    <w:p w14:paraId="5A7728A8" w14:textId="77777777" w:rsidR="004E7D69" w:rsidRDefault="004E7D69">
      <w:pPr>
        <w:spacing w:line="240" w:lineRule="auto"/>
        <w:rPr>
          <w:sz w:val="20"/>
          <w:szCs w:val="20"/>
        </w:rPr>
      </w:pPr>
    </w:p>
  </w:footnote>
  <w:footnote w:id="6">
    <w:p w14:paraId="285FA966" w14:textId="77777777" w:rsidR="004E7D69" w:rsidRDefault="00AA4EE0">
      <w:pPr>
        <w:spacing w:line="240" w:lineRule="auto"/>
        <w:rPr>
          <w:sz w:val="20"/>
          <w:szCs w:val="20"/>
        </w:rPr>
      </w:pPr>
      <w:r>
        <w:rPr>
          <w:vertAlign w:val="superscript"/>
        </w:rPr>
        <w:footnoteRef/>
      </w:r>
      <w:r>
        <w:rPr>
          <w:sz w:val="20"/>
          <w:szCs w:val="20"/>
        </w:rPr>
        <w:t xml:space="preserve">Mathews, Mathew &amp; Pereira, Shane, Today, August 2020. Why Singapore needs new ways to tackle racism more effectively. Retrieved from: </w:t>
      </w:r>
      <w:hyperlink r:id="rId4">
        <w:r>
          <w:rPr>
            <w:color w:val="0000FF"/>
            <w:sz w:val="20"/>
            <w:szCs w:val="20"/>
            <w:u w:val="single"/>
          </w:rPr>
          <w:t>http</w:t>
        </w:r>
        <w:r>
          <w:rPr>
            <w:color w:val="0000FF"/>
            <w:sz w:val="20"/>
            <w:szCs w:val="20"/>
            <w:u w:val="single"/>
          </w:rPr>
          <w:t>s://www.todayonline.com/commentary/why-singapore-needs-new-ways-tackle-racism-more-effectively</w:t>
        </w:r>
      </w:hyperlink>
      <w:r>
        <w:rPr>
          <w:sz w:val="20"/>
          <w:szCs w:val="20"/>
        </w:rPr>
        <w:t>. Accessed 13 October 2020</w:t>
      </w:r>
    </w:p>
  </w:footnote>
  <w:footnote w:id="7">
    <w:p w14:paraId="78F264E6" w14:textId="77777777" w:rsidR="004E7D69" w:rsidRDefault="00AA4EE0">
      <w:pPr>
        <w:spacing w:line="240" w:lineRule="auto"/>
        <w:rPr>
          <w:sz w:val="20"/>
          <w:szCs w:val="20"/>
        </w:rPr>
      </w:pPr>
      <w:r>
        <w:rPr>
          <w:vertAlign w:val="superscript"/>
        </w:rPr>
        <w:footnoteRef/>
      </w:r>
      <w:r>
        <w:rPr>
          <w:sz w:val="20"/>
          <w:szCs w:val="20"/>
        </w:rPr>
        <w:t xml:space="preserve"> Chapter XXI, Penal Code (</w:t>
      </w:r>
      <w:hyperlink r:id="rId5">
        <w:r>
          <w:rPr>
            <w:color w:val="1155CC"/>
            <w:sz w:val="20"/>
            <w:szCs w:val="20"/>
            <w:u w:val="single"/>
          </w:rPr>
          <w:t>https://sso.agc.gov</w:t>
        </w:r>
        <w:r>
          <w:rPr>
            <w:color w:val="1155CC"/>
            <w:sz w:val="20"/>
            <w:szCs w:val="20"/>
            <w:u w:val="single"/>
          </w:rPr>
          <w:t>.sg/Act/PC1871?ProvIds=pr499-,pr500-,pr501-,pr502-</w:t>
        </w:r>
      </w:hyperlink>
      <w:r>
        <w:rPr>
          <w:sz w:val="20"/>
          <w:szCs w:val="20"/>
        </w:rPr>
        <w:t>)</w:t>
      </w:r>
    </w:p>
    <w:p w14:paraId="0615CA43" w14:textId="77777777" w:rsidR="004E7D69" w:rsidRDefault="004E7D69">
      <w:pPr>
        <w:spacing w:line="240" w:lineRule="auto"/>
        <w:rPr>
          <w:sz w:val="20"/>
          <w:szCs w:val="20"/>
        </w:rPr>
      </w:pPr>
    </w:p>
  </w:footnote>
  <w:footnote w:id="8">
    <w:p w14:paraId="0CFD25D0" w14:textId="77777777" w:rsidR="004E7D69" w:rsidRDefault="00AA4EE0">
      <w:pPr>
        <w:spacing w:line="240" w:lineRule="auto"/>
        <w:rPr>
          <w:sz w:val="20"/>
          <w:szCs w:val="20"/>
        </w:rPr>
      </w:pPr>
      <w:r>
        <w:rPr>
          <w:vertAlign w:val="superscript"/>
        </w:rPr>
        <w:footnoteRef/>
      </w:r>
      <w:r>
        <w:rPr>
          <w:sz w:val="20"/>
          <w:szCs w:val="20"/>
        </w:rPr>
        <w:t xml:space="preserve"> Summary of stakeholder's information prepared for second cycle of Singapore UPR, 2016, </w:t>
      </w:r>
      <w:hyperlink r:id="rId6">
        <w:r>
          <w:rPr>
            <w:color w:val="1155CC"/>
            <w:sz w:val="20"/>
            <w:szCs w:val="20"/>
            <w:u w:val="single"/>
          </w:rPr>
          <w:t>https://documents-dds</w:t>
        </w:r>
        <w:r>
          <w:rPr>
            <w:color w:val="1155CC"/>
            <w:sz w:val="20"/>
            <w:szCs w:val="20"/>
            <w:u w:val="single"/>
          </w:rPr>
          <w:t>-ny.un.org/doc/UNDOC/GEN/G15/252/06/PDF/G1525206.pdf</w:t>
        </w:r>
      </w:hyperlink>
    </w:p>
    <w:p w14:paraId="66A05C40" w14:textId="77777777" w:rsidR="004E7D69" w:rsidRDefault="004E7D69">
      <w:pPr>
        <w:spacing w:line="240" w:lineRule="auto"/>
        <w:rPr>
          <w:sz w:val="20"/>
          <w:szCs w:val="20"/>
        </w:rPr>
      </w:pPr>
    </w:p>
  </w:footnote>
  <w:footnote w:id="9">
    <w:p w14:paraId="30FFEC3A" w14:textId="77777777" w:rsidR="004E7D69" w:rsidRDefault="00AA4EE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text in</w:t>
      </w:r>
      <w:r>
        <w:rPr>
          <w:sz w:val="20"/>
          <w:szCs w:val="20"/>
        </w:rPr>
        <w:t xml:space="preserve"> blue</w:t>
      </w:r>
      <w:r>
        <w:rPr>
          <w:color w:val="000000"/>
          <w:sz w:val="20"/>
          <w:szCs w:val="20"/>
        </w:rPr>
        <w:t xml:space="preserve"> and in italics (for grayscale) shows updated information till April </w:t>
      </w:r>
      <w:r>
        <w:rPr>
          <w:sz w:val="20"/>
          <w:szCs w:val="20"/>
        </w:rPr>
        <w:t>6</w:t>
      </w:r>
      <w:r>
        <w:rPr>
          <w:color w:val="000000"/>
          <w:sz w:val="20"/>
          <w:szCs w:val="20"/>
        </w:rPr>
        <w:t>, 2021.</w:t>
      </w:r>
    </w:p>
  </w:footnote>
  <w:footnote w:id="10">
    <w:p w14:paraId="651632E7" w14:textId="77777777" w:rsidR="004E7D69" w:rsidRDefault="00AA4EE0">
      <w:pPr>
        <w:spacing w:line="240" w:lineRule="auto"/>
        <w:rPr>
          <w:sz w:val="20"/>
          <w:szCs w:val="20"/>
        </w:rPr>
      </w:pPr>
      <w:r>
        <w:rPr>
          <w:vertAlign w:val="superscript"/>
        </w:rPr>
        <w:footnoteRef/>
      </w:r>
      <w:r>
        <w:rPr>
          <w:sz w:val="20"/>
          <w:szCs w:val="20"/>
        </w:rPr>
        <w:t xml:space="preserve"> “PM Lee Wins Defamation Suit against Blogger Leong Sze Hian; Awarded S$133,000 in Damages.” </w:t>
      </w:r>
      <w:r>
        <w:rPr>
          <w:i/>
          <w:sz w:val="20"/>
          <w:szCs w:val="20"/>
        </w:rPr>
        <w:t>TODAYonline</w:t>
      </w:r>
      <w:r>
        <w:rPr>
          <w:sz w:val="20"/>
          <w:szCs w:val="20"/>
        </w:rPr>
        <w:t xml:space="preserve">, </w:t>
      </w:r>
      <w:hyperlink r:id="rId7">
        <w:r>
          <w:rPr>
            <w:color w:val="1155CC"/>
            <w:sz w:val="20"/>
            <w:szCs w:val="20"/>
            <w:u w:val="single"/>
          </w:rPr>
          <w:t>www.todayonline.com/singapore/pm-lee-wins-defamation-suit-against-blogger-leong-sze-hian-awarded-s133000-damages</w:t>
        </w:r>
      </w:hyperlink>
    </w:p>
    <w:p w14:paraId="1FABACD9" w14:textId="77777777" w:rsidR="004E7D69" w:rsidRDefault="004E7D69">
      <w:pPr>
        <w:spacing w:line="240" w:lineRule="auto"/>
        <w:rPr>
          <w:sz w:val="20"/>
          <w:szCs w:val="20"/>
        </w:rPr>
      </w:pPr>
    </w:p>
    <w:p w14:paraId="1812CE03" w14:textId="77777777" w:rsidR="004E7D69" w:rsidRDefault="004E7D69">
      <w:pPr>
        <w:spacing w:line="240" w:lineRule="auto"/>
        <w:rPr>
          <w:sz w:val="20"/>
          <w:szCs w:val="20"/>
        </w:rPr>
      </w:pPr>
    </w:p>
    <w:p w14:paraId="24760004" w14:textId="77777777" w:rsidR="004E7D69" w:rsidRDefault="004E7D69">
      <w:pPr>
        <w:spacing w:line="240" w:lineRule="auto"/>
        <w:rPr>
          <w:sz w:val="20"/>
          <w:szCs w:val="20"/>
        </w:rPr>
      </w:pPr>
    </w:p>
  </w:footnote>
  <w:footnote w:id="11">
    <w:p w14:paraId="5DEB5266" w14:textId="77777777" w:rsidR="004E7D69" w:rsidRDefault="00AA4EE0">
      <w:pPr>
        <w:spacing w:line="240" w:lineRule="auto"/>
        <w:rPr>
          <w:sz w:val="20"/>
          <w:szCs w:val="20"/>
        </w:rPr>
      </w:pPr>
      <w:r>
        <w:rPr>
          <w:vertAlign w:val="superscript"/>
        </w:rPr>
        <w:footnoteRef/>
      </w:r>
      <w:r>
        <w:rPr>
          <w:sz w:val="20"/>
          <w:szCs w:val="20"/>
        </w:rPr>
        <w:t xml:space="preserve"> H</w:t>
      </w:r>
      <w:r>
        <w:rPr>
          <w:sz w:val="20"/>
          <w:szCs w:val="20"/>
        </w:rPr>
        <w:t xml:space="preserve">an, Kirsten. “Lee Hsien Loong V Leong Sze Hian, Day 1.” </w:t>
      </w:r>
      <w:r>
        <w:rPr>
          <w:i/>
          <w:sz w:val="20"/>
          <w:szCs w:val="20"/>
        </w:rPr>
        <w:t>We, the Citizens</w:t>
      </w:r>
      <w:r>
        <w:rPr>
          <w:sz w:val="20"/>
          <w:szCs w:val="20"/>
        </w:rPr>
        <w:t xml:space="preserve">, We, the Citizens, 6 Oct. 2020, wethecitizens.substack.com/p/lee-hsien-loong-v-leong-sze-hian. </w:t>
      </w:r>
    </w:p>
    <w:p w14:paraId="27C4EEB2" w14:textId="77777777" w:rsidR="004E7D69" w:rsidRDefault="004E7D69">
      <w:pPr>
        <w:spacing w:line="240" w:lineRule="auto"/>
        <w:rPr>
          <w:sz w:val="20"/>
          <w:szCs w:val="20"/>
        </w:rPr>
      </w:pPr>
    </w:p>
  </w:footnote>
  <w:footnote w:id="12">
    <w:p w14:paraId="4905DBC2" w14:textId="77777777" w:rsidR="004E7D69" w:rsidRDefault="00AA4EE0">
      <w:pPr>
        <w:spacing w:line="240" w:lineRule="auto"/>
        <w:rPr>
          <w:color w:val="323232"/>
          <w:sz w:val="20"/>
          <w:szCs w:val="20"/>
          <w:highlight w:val="white"/>
        </w:rPr>
      </w:pPr>
      <w:r>
        <w:rPr>
          <w:vertAlign w:val="superscript"/>
        </w:rPr>
        <w:footnoteRef/>
      </w:r>
      <w:r>
        <w:rPr>
          <w:sz w:val="20"/>
          <w:szCs w:val="20"/>
        </w:rPr>
        <w:t xml:space="preserve"> </w:t>
      </w:r>
      <w:r>
        <w:rPr>
          <w:color w:val="323232"/>
          <w:sz w:val="20"/>
          <w:szCs w:val="20"/>
          <w:highlight w:val="white"/>
        </w:rPr>
        <w:t xml:space="preserve">Yi, Seow Bei. “Yale-NUS Cancels Course on Dissent and Resistance.” </w:t>
      </w:r>
      <w:r>
        <w:rPr>
          <w:i/>
          <w:color w:val="323232"/>
          <w:sz w:val="20"/>
          <w:szCs w:val="20"/>
        </w:rPr>
        <w:t>The Straits Times</w:t>
      </w:r>
      <w:r>
        <w:rPr>
          <w:color w:val="323232"/>
          <w:sz w:val="20"/>
          <w:szCs w:val="20"/>
          <w:highlight w:val="white"/>
        </w:rPr>
        <w:t xml:space="preserve">, 15 Sept. 2019. Retrieved from: </w:t>
      </w:r>
      <w:hyperlink r:id="rId8">
        <w:r>
          <w:rPr>
            <w:color w:val="1155CC"/>
            <w:sz w:val="20"/>
            <w:szCs w:val="20"/>
            <w:highlight w:val="white"/>
            <w:u w:val="single"/>
          </w:rPr>
          <w:t>www.straitstimes.com/singapore/education/yale-nus-cancels-course-on-dissent-and-resistance</w:t>
        </w:r>
      </w:hyperlink>
      <w:r>
        <w:rPr>
          <w:color w:val="323232"/>
          <w:sz w:val="20"/>
          <w:szCs w:val="20"/>
          <w:highlight w:val="white"/>
        </w:rPr>
        <w:t>. Accessed on 18</w:t>
      </w:r>
      <w:r>
        <w:rPr>
          <w:color w:val="323232"/>
          <w:sz w:val="20"/>
          <w:szCs w:val="20"/>
          <w:highlight w:val="white"/>
        </w:rPr>
        <w:t xml:space="preserve"> Sept 2020</w:t>
      </w:r>
    </w:p>
    <w:p w14:paraId="00CC8B0E" w14:textId="77777777" w:rsidR="004E7D69" w:rsidRDefault="004E7D69">
      <w:pPr>
        <w:spacing w:line="240" w:lineRule="auto"/>
        <w:rPr>
          <w:color w:val="323232"/>
          <w:sz w:val="20"/>
          <w:szCs w:val="20"/>
          <w:highlight w:val="white"/>
        </w:rPr>
      </w:pPr>
    </w:p>
  </w:footnote>
  <w:footnote w:id="13">
    <w:p w14:paraId="41FF48F0" w14:textId="77777777" w:rsidR="004E7D69" w:rsidRDefault="00AA4EE0">
      <w:pPr>
        <w:spacing w:line="240" w:lineRule="auto"/>
        <w:rPr>
          <w:sz w:val="20"/>
          <w:szCs w:val="20"/>
        </w:rPr>
      </w:pPr>
      <w:r>
        <w:rPr>
          <w:vertAlign w:val="superscript"/>
        </w:rPr>
        <w:footnoteRef/>
      </w:r>
      <w:r>
        <w:rPr>
          <w:sz w:val="20"/>
          <w:szCs w:val="20"/>
        </w:rPr>
        <w:t xml:space="preserve"> Min, Ang Hwee. “3 Arrested over Protest against Transphobia Outside MOE Building.” CNA, 27 Jan. 2021, </w:t>
      </w:r>
      <w:hyperlink r:id="rId9">
        <w:r>
          <w:rPr>
            <w:color w:val="1155CC"/>
            <w:sz w:val="20"/>
            <w:szCs w:val="20"/>
            <w:u w:val="single"/>
          </w:rPr>
          <w:t>www.cha</w:t>
        </w:r>
        <w:r>
          <w:rPr>
            <w:color w:val="1155CC"/>
            <w:sz w:val="20"/>
            <w:szCs w:val="20"/>
            <w:u w:val="single"/>
          </w:rPr>
          <w:t>nnelnewsasia.com/news/singapore/moe-transphobia-protest-3-arrested-student-hormone-therapy-14045320</w:t>
        </w:r>
      </w:hyperlink>
      <w:r>
        <w:rPr>
          <w:sz w:val="20"/>
          <w:szCs w:val="20"/>
        </w:rPr>
        <w:t>.</w:t>
      </w:r>
    </w:p>
    <w:p w14:paraId="799E0982" w14:textId="77777777" w:rsidR="004E7D69" w:rsidRDefault="004E7D69">
      <w:pPr>
        <w:spacing w:line="240" w:lineRule="auto"/>
        <w:rPr>
          <w:sz w:val="20"/>
          <w:szCs w:val="20"/>
        </w:rPr>
      </w:pPr>
    </w:p>
  </w:footnote>
  <w:footnote w:id="14">
    <w:p w14:paraId="3EDFC23A" w14:textId="77777777" w:rsidR="004E7D69" w:rsidRDefault="00AA4EE0">
      <w:pPr>
        <w:spacing w:line="240" w:lineRule="auto"/>
        <w:rPr>
          <w:sz w:val="20"/>
          <w:szCs w:val="20"/>
        </w:rPr>
      </w:pPr>
      <w:r>
        <w:rPr>
          <w:vertAlign w:val="superscript"/>
        </w:rPr>
        <w:footnoteRef/>
      </w:r>
      <w:r>
        <w:rPr>
          <w:sz w:val="20"/>
          <w:szCs w:val="20"/>
        </w:rPr>
        <w:t xml:space="preserve"> “Activist Jolovan Wham Chooses 22 Days' Jail over Fine for Holding Illegal Public Assembly on MRT Train.” </w:t>
      </w:r>
      <w:r>
        <w:rPr>
          <w:i/>
          <w:sz w:val="20"/>
          <w:szCs w:val="20"/>
        </w:rPr>
        <w:t>TODAYonline</w:t>
      </w:r>
      <w:r>
        <w:rPr>
          <w:sz w:val="20"/>
          <w:szCs w:val="20"/>
        </w:rPr>
        <w:t xml:space="preserve">, </w:t>
      </w:r>
      <w:hyperlink r:id="rId10">
        <w:r>
          <w:rPr>
            <w:color w:val="1155CC"/>
            <w:sz w:val="20"/>
            <w:szCs w:val="20"/>
            <w:u w:val="single"/>
          </w:rPr>
          <w:t>www.todayonline.com/singapore/activist-jolovan-wham-chooses-22-days-jail-over-fine-holding-illegal-public-assembly-mrt</w:t>
        </w:r>
      </w:hyperlink>
    </w:p>
    <w:p w14:paraId="292B0A9B" w14:textId="77777777" w:rsidR="004E7D69" w:rsidRDefault="00AA4EE0">
      <w:pPr>
        <w:spacing w:line="240" w:lineRule="auto"/>
        <w:rPr>
          <w:sz w:val="20"/>
          <w:szCs w:val="20"/>
        </w:rPr>
      </w:pPr>
      <w:r>
        <w:rPr>
          <w:sz w:val="20"/>
          <w:szCs w:val="20"/>
        </w:rPr>
        <w:t xml:space="preserve">. </w:t>
      </w:r>
    </w:p>
    <w:p w14:paraId="7342A67C" w14:textId="77777777" w:rsidR="004E7D69" w:rsidRDefault="004E7D69">
      <w:pPr>
        <w:spacing w:line="240" w:lineRule="auto"/>
        <w:rPr>
          <w:sz w:val="20"/>
          <w:szCs w:val="20"/>
        </w:rPr>
      </w:pPr>
    </w:p>
  </w:footnote>
  <w:footnote w:id="15">
    <w:p w14:paraId="5EF9DC81" w14:textId="77777777" w:rsidR="004E7D69" w:rsidRDefault="00AA4EE0">
      <w:pPr>
        <w:spacing w:line="240" w:lineRule="auto"/>
        <w:rPr>
          <w:sz w:val="20"/>
          <w:szCs w:val="20"/>
        </w:rPr>
      </w:pPr>
      <w:r>
        <w:rPr>
          <w:vertAlign w:val="superscript"/>
        </w:rPr>
        <w:footnoteRef/>
      </w:r>
      <w:r>
        <w:rPr>
          <w:sz w:val="20"/>
          <w:szCs w:val="20"/>
        </w:rPr>
        <w:t xml:space="preserve"> From 2006 to 2019, </w:t>
      </w:r>
      <w:r>
        <w:rPr>
          <w:sz w:val="20"/>
          <w:szCs w:val="20"/>
        </w:rPr>
        <w:t xml:space="preserve">the representation of women parliamentarians has remained consistent at slightly more than 20%. </w:t>
      </w:r>
    </w:p>
    <w:p w14:paraId="328D2BA3" w14:textId="77777777" w:rsidR="004E7D69" w:rsidRDefault="004E7D69">
      <w:pPr>
        <w:spacing w:line="240" w:lineRule="auto"/>
        <w:rPr>
          <w:sz w:val="20"/>
          <w:szCs w:val="20"/>
        </w:rPr>
      </w:pPr>
    </w:p>
    <w:p w14:paraId="6CCFDFD5" w14:textId="77777777" w:rsidR="004E7D69" w:rsidRDefault="00AA4EE0">
      <w:pPr>
        <w:spacing w:line="240" w:lineRule="auto"/>
        <w:rPr>
          <w:sz w:val="20"/>
          <w:szCs w:val="20"/>
        </w:rPr>
      </w:pPr>
      <w:r>
        <w:rPr>
          <w:color w:val="323232"/>
          <w:sz w:val="20"/>
          <w:szCs w:val="20"/>
          <w:highlight w:val="white"/>
        </w:rPr>
        <w:t xml:space="preserve">Hirschmann, R. (2020, January 27). Singapore: Proportion of seats held by women in national parliament 2019. Retrieved from: </w:t>
      </w:r>
      <w:hyperlink r:id="rId11">
        <w:r>
          <w:rPr>
            <w:color w:val="1155CC"/>
            <w:sz w:val="20"/>
            <w:szCs w:val="20"/>
            <w:highlight w:val="white"/>
            <w:u w:val="single"/>
          </w:rPr>
          <w:t>https://www.statista.com/statistics/730313/singapore-proportion-of-seats-held-by-women-in-national-parliament/</w:t>
        </w:r>
      </w:hyperlink>
      <w:r>
        <w:rPr>
          <w:color w:val="323232"/>
          <w:sz w:val="20"/>
          <w:szCs w:val="20"/>
          <w:highlight w:val="white"/>
        </w:rPr>
        <w:t xml:space="preserve"> . </w:t>
      </w:r>
      <w:r>
        <w:rPr>
          <w:color w:val="323232"/>
          <w:sz w:val="20"/>
          <w:szCs w:val="20"/>
        </w:rPr>
        <w:t>Accessed 1 Aug 2020</w:t>
      </w:r>
    </w:p>
    <w:p w14:paraId="7DCAE37D" w14:textId="77777777" w:rsidR="004E7D69" w:rsidRDefault="004E7D69">
      <w:pPr>
        <w:spacing w:line="240" w:lineRule="auto"/>
        <w:rPr>
          <w:sz w:val="20"/>
          <w:szCs w:val="20"/>
        </w:rPr>
      </w:pPr>
    </w:p>
  </w:footnote>
  <w:footnote w:id="16">
    <w:p w14:paraId="6B862F03" w14:textId="77777777" w:rsidR="004E7D69" w:rsidRDefault="00AA4EE0">
      <w:pPr>
        <w:spacing w:line="240" w:lineRule="auto"/>
        <w:rPr>
          <w:sz w:val="20"/>
          <w:szCs w:val="20"/>
        </w:rPr>
      </w:pPr>
      <w:r>
        <w:rPr>
          <w:vertAlign w:val="superscript"/>
        </w:rPr>
        <w:footnoteRef/>
      </w:r>
      <w:r>
        <w:rPr>
          <w:sz w:val="20"/>
          <w:szCs w:val="20"/>
        </w:rPr>
        <w:t xml:space="preserve"> McKinsey Global Institute: The power of parity: advancing women’s equality in Asia Pacific, Focus Singapore (April 2018). Retrieved from: </w:t>
      </w:r>
      <w:hyperlink r:id="rId12">
        <w:r>
          <w:rPr>
            <w:color w:val="0000FF"/>
            <w:sz w:val="20"/>
            <w:szCs w:val="20"/>
            <w:u w:val="single"/>
          </w:rPr>
          <w:t>https://www.mckinsey.com/~/media/McKinsey/Featured%20Insights/Gender%20Equality/The%20power%20of%20parity%20Advancing%20womens%20equality%20in%20Asia%20Pacific/MGI-The-power-of-parity-Advancing-womens-equality-in-Asia-pacific-Executive-summary.pdf</w:t>
        </w:r>
      </w:hyperlink>
      <w:r>
        <w:rPr>
          <w:sz w:val="20"/>
          <w:szCs w:val="20"/>
        </w:rPr>
        <w:t>. Accesse</w:t>
      </w:r>
      <w:r>
        <w:rPr>
          <w:sz w:val="20"/>
          <w:szCs w:val="20"/>
        </w:rPr>
        <w:t>d 18 Aug 2020</w:t>
      </w:r>
    </w:p>
    <w:p w14:paraId="15C688FE" w14:textId="77777777" w:rsidR="004E7D69" w:rsidRDefault="004E7D69">
      <w:pPr>
        <w:spacing w:line="240" w:lineRule="auto"/>
        <w:rPr>
          <w:sz w:val="20"/>
          <w:szCs w:val="20"/>
        </w:rPr>
      </w:pPr>
    </w:p>
  </w:footnote>
  <w:footnote w:id="17">
    <w:p w14:paraId="7C823855" w14:textId="77777777" w:rsidR="004E7D69" w:rsidRDefault="00AA4EE0">
      <w:pPr>
        <w:spacing w:line="240" w:lineRule="auto"/>
        <w:rPr>
          <w:sz w:val="20"/>
          <w:szCs w:val="20"/>
          <w:highlight w:val="white"/>
        </w:rPr>
      </w:pPr>
      <w:r>
        <w:rPr>
          <w:vertAlign w:val="superscript"/>
        </w:rPr>
        <w:footnoteRef/>
      </w:r>
      <w:r>
        <w:rPr>
          <w:sz w:val="20"/>
          <w:szCs w:val="20"/>
        </w:rPr>
        <w:t xml:space="preserve"> </w:t>
      </w:r>
      <w:r>
        <w:rPr>
          <w:color w:val="323232"/>
          <w:sz w:val="20"/>
          <w:szCs w:val="20"/>
          <w:highlight w:val="white"/>
        </w:rPr>
        <w:t xml:space="preserve">Kwang, K. (2019, February 11). Marital immunity for rape set to be repealed as part of changes to Singapore's Penal Code. Retrieved from: </w:t>
      </w:r>
      <w:hyperlink r:id="rId13">
        <w:r>
          <w:rPr>
            <w:color w:val="1155CC"/>
            <w:sz w:val="20"/>
            <w:szCs w:val="20"/>
            <w:highlight w:val="white"/>
            <w:u w:val="single"/>
          </w:rPr>
          <w:t>https://www.channelnewsasia.com/news/singapore/marital-immunity-for-rape-set-to-be-repealed-as-part-of-changes-11229224</w:t>
        </w:r>
      </w:hyperlink>
      <w:r>
        <w:rPr>
          <w:color w:val="1155CC"/>
          <w:sz w:val="20"/>
          <w:szCs w:val="20"/>
          <w:highlight w:val="white"/>
          <w:u w:val="single"/>
        </w:rPr>
        <w:t xml:space="preserve">. </w:t>
      </w:r>
      <w:r>
        <w:rPr>
          <w:sz w:val="20"/>
          <w:szCs w:val="20"/>
          <w:highlight w:val="white"/>
        </w:rPr>
        <w:t>Accessed 1 Aug 2020</w:t>
      </w:r>
    </w:p>
    <w:p w14:paraId="2AB820B2" w14:textId="77777777" w:rsidR="004E7D69" w:rsidRDefault="004E7D69">
      <w:pPr>
        <w:spacing w:line="240" w:lineRule="auto"/>
        <w:rPr>
          <w:sz w:val="20"/>
          <w:szCs w:val="20"/>
        </w:rPr>
      </w:pPr>
    </w:p>
  </w:footnote>
  <w:footnote w:id="18">
    <w:p w14:paraId="74CB2467" w14:textId="77777777" w:rsidR="004E7D69" w:rsidRDefault="00AA4EE0">
      <w:pPr>
        <w:spacing w:line="240" w:lineRule="auto"/>
        <w:rPr>
          <w:sz w:val="20"/>
          <w:szCs w:val="20"/>
        </w:rPr>
      </w:pPr>
      <w:r>
        <w:rPr>
          <w:vertAlign w:val="superscript"/>
        </w:rPr>
        <w:footnoteRef/>
      </w:r>
      <w:r>
        <w:rPr>
          <w:sz w:val="20"/>
          <w:szCs w:val="20"/>
        </w:rPr>
        <w:t xml:space="preserve"> Li, T. W. (2017, September 23). Mindsets must shift to close gender pay ga</w:t>
      </w:r>
      <w:r>
        <w:rPr>
          <w:sz w:val="20"/>
          <w:szCs w:val="20"/>
        </w:rPr>
        <w:t xml:space="preserve">p. Retrieved from: </w:t>
      </w:r>
      <w:hyperlink r:id="rId14">
        <w:r>
          <w:rPr>
            <w:color w:val="1155CC"/>
            <w:sz w:val="20"/>
            <w:szCs w:val="20"/>
            <w:u w:val="single"/>
          </w:rPr>
          <w:t>https://www.straitstimes.com/singapore/mindsets-must-shift-to-close-gender-pay-gap</w:t>
        </w:r>
      </w:hyperlink>
      <w:r>
        <w:rPr>
          <w:color w:val="1155CC"/>
          <w:sz w:val="20"/>
          <w:szCs w:val="20"/>
          <w:u w:val="single"/>
        </w:rPr>
        <w:t xml:space="preserve">. </w:t>
      </w:r>
      <w:r>
        <w:rPr>
          <w:sz w:val="20"/>
          <w:szCs w:val="20"/>
        </w:rPr>
        <w:t>Accessed 1 Aug 2020</w:t>
      </w:r>
    </w:p>
    <w:p w14:paraId="30407828" w14:textId="77777777" w:rsidR="004E7D69" w:rsidRDefault="004E7D69">
      <w:pPr>
        <w:spacing w:line="240" w:lineRule="auto"/>
        <w:rPr>
          <w:sz w:val="20"/>
          <w:szCs w:val="20"/>
        </w:rPr>
      </w:pPr>
    </w:p>
  </w:footnote>
  <w:footnote w:id="19">
    <w:p w14:paraId="344E705F" w14:textId="77777777" w:rsidR="004E7D69" w:rsidRDefault="00AA4EE0">
      <w:pPr>
        <w:spacing w:line="240" w:lineRule="auto"/>
        <w:rPr>
          <w:sz w:val="20"/>
          <w:szCs w:val="20"/>
        </w:rPr>
      </w:pPr>
      <w:r>
        <w:rPr>
          <w:vertAlign w:val="superscript"/>
        </w:rPr>
        <w:footnoteRef/>
      </w:r>
      <w:r>
        <w:rPr>
          <w:sz w:val="20"/>
          <w:szCs w:val="20"/>
        </w:rPr>
        <w:t xml:space="preserve"> Oxfam, “Commitment to Reduci</w:t>
      </w:r>
      <w:r>
        <w:rPr>
          <w:sz w:val="20"/>
          <w:szCs w:val="20"/>
        </w:rPr>
        <w:t>ng Inequality Index”, October 2018. Retrieved from:</w:t>
      </w:r>
    </w:p>
    <w:p w14:paraId="4039BE2F" w14:textId="77777777" w:rsidR="004E7D69" w:rsidRDefault="00AA4EE0">
      <w:pPr>
        <w:spacing w:line="240" w:lineRule="auto"/>
        <w:rPr>
          <w:sz w:val="20"/>
          <w:szCs w:val="20"/>
        </w:rPr>
      </w:pPr>
      <w:hyperlink r:id="rId15">
        <w:r>
          <w:rPr>
            <w:color w:val="1155CC"/>
            <w:sz w:val="20"/>
            <w:szCs w:val="20"/>
            <w:u w:val="single"/>
          </w:rPr>
          <w:t>https://www.oxfam.org/en/research/commitment-reducing-inequality-index-2018</w:t>
        </w:r>
      </w:hyperlink>
      <w:r>
        <w:rPr>
          <w:sz w:val="20"/>
          <w:szCs w:val="20"/>
        </w:rPr>
        <w:t>. Accessed 5 August  2020.</w:t>
      </w:r>
    </w:p>
    <w:p w14:paraId="0241EA78" w14:textId="77777777" w:rsidR="004E7D69" w:rsidRDefault="004E7D69">
      <w:pPr>
        <w:spacing w:line="240" w:lineRule="auto"/>
        <w:rPr>
          <w:sz w:val="20"/>
          <w:szCs w:val="20"/>
        </w:rPr>
      </w:pPr>
    </w:p>
  </w:footnote>
  <w:footnote w:id="20">
    <w:p w14:paraId="35CCA575" w14:textId="77777777" w:rsidR="004E7D69" w:rsidRDefault="00AA4EE0">
      <w:pPr>
        <w:spacing w:line="240" w:lineRule="auto"/>
        <w:rPr>
          <w:sz w:val="20"/>
          <w:szCs w:val="20"/>
        </w:rPr>
      </w:pPr>
      <w:r>
        <w:rPr>
          <w:vertAlign w:val="superscript"/>
        </w:rPr>
        <w:footnoteRef/>
      </w:r>
      <w:r>
        <w:rPr>
          <w:sz w:val="20"/>
          <w:szCs w:val="20"/>
        </w:rPr>
        <w:t xml:space="preserve"> Lee,</w:t>
      </w:r>
      <w:r>
        <w:rPr>
          <w:sz w:val="20"/>
          <w:szCs w:val="20"/>
        </w:rPr>
        <w:t xml:space="preserve"> D. (2020, July 01). Singapore GE2020: Political broadcasts to air daily from July 2-9. Retrieved from: </w:t>
      </w:r>
      <w:hyperlink r:id="rId16">
        <w:r>
          <w:rPr>
            <w:color w:val="1155CC"/>
            <w:sz w:val="20"/>
            <w:szCs w:val="20"/>
            <w:u w:val="single"/>
          </w:rPr>
          <w:t>https://www.straitstimes.com/p</w:t>
        </w:r>
        <w:r>
          <w:rPr>
            <w:color w:val="1155CC"/>
            <w:sz w:val="20"/>
            <w:szCs w:val="20"/>
            <w:u w:val="single"/>
          </w:rPr>
          <w:t>olitics/singapore-ge2020-political-broadcasts-to-air-daily-from-july-2-9</w:t>
        </w:r>
      </w:hyperlink>
      <w:r>
        <w:rPr>
          <w:color w:val="1155CC"/>
          <w:sz w:val="20"/>
          <w:szCs w:val="20"/>
        </w:rPr>
        <w:t xml:space="preserve">. Accessed 8 August 2020. </w:t>
      </w:r>
    </w:p>
    <w:p w14:paraId="06F44543" w14:textId="77777777" w:rsidR="004E7D69" w:rsidRDefault="004E7D69">
      <w:pPr>
        <w:spacing w:line="240" w:lineRule="auto"/>
        <w:rPr>
          <w:sz w:val="20"/>
          <w:szCs w:val="20"/>
        </w:rPr>
      </w:pPr>
    </w:p>
  </w:footnote>
  <w:footnote w:id="21">
    <w:p w14:paraId="6411D7F4" w14:textId="77777777" w:rsidR="004E7D69" w:rsidRDefault="00AA4EE0">
      <w:pPr>
        <w:spacing w:line="240" w:lineRule="auto"/>
        <w:rPr>
          <w:sz w:val="20"/>
          <w:szCs w:val="20"/>
          <w:highlight w:val="yellow"/>
        </w:rPr>
      </w:pPr>
      <w:r>
        <w:rPr>
          <w:vertAlign w:val="superscript"/>
        </w:rPr>
        <w:footnoteRef/>
      </w:r>
      <w:r>
        <w:rPr>
          <w:sz w:val="20"/>
          <w:szCs w:val="20"/>
        </w:rPr>
        <w:t xml:space="preserve"> </w:t>
      </w:r>
      <w:r>
        <w:rPr>
          <w:i/>
          <w:sz w:val="20"/>
          <w:szCs w:val="20"/>
        </w:rPr>
        <w:t>Universal Periodic Review Mid-Term Report (2018)</w:t>
      </w:r>
      <w:r>
        <w:rPr>
          <w:sz w:val="20"/>
          <w:szCs w:val="20"/>
        </w:rPr>
        <w:t xml:space="preserve"> (p. 23, Rep.). (2018). Singapore, Singapore.</w:t>
      </w:r>
    </w:p>
    <w:p w14:paraId="1B96A9D3" w14:textId="77777777" w:rsidR="004E7D69" w:rsidRDefault="004E7D69">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D8B"/>
    <w:multiLevelType w:val="multilevel"/>
    <w:tmpl w:val="95A6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E201D"/>
    <w:multiLevelType w:val="multilevel"/>
    <w:tmpl w:val="838E5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D74E7"/>
    <w:multiLevelType w:val="multilevel"/>
    <w:tmpl w:val="142E8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7E02B1"/>
    <w:multiLevelType w:val="multilevel"/>
    <w:tmpl w:val="D8EE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DB0F12"/>
    <w:multiLevelType w:val="multilevel"/>
    <w:tmpl w:val="BDCAA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CC723D"/>
    <w:multiLevelType w:val="multilevel"/>
    <w:tmpl w:val="9850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A076AB"/>
    <w:multiLevelType w:val="multilevel"/>
    <w:tmpl w:val="A6B6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D28B8"/>
    <w:multiLevelType w:val="multilevel"/>
    <w:tmpl w:val="86C8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20913"/>
    <w:multiLevelType w:val="multilevel"/>
    <w:tmpl w:val="805A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C6FA6"/>
    <w:multiLevelType w:val="multilevel"/>
    <w:tmpl w:val="2828F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5E4A07"/>
    <w:multiLevelType w:val="multilevel"/>
    <w:tmpl w:val="489AA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B82B83"/>
    <w:multiLevelType w:val="multilevel"/>
    <w:tmpl w:val="0634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247675"/>
    <w:multiLevelType w:val="multilevel"/>
    <w:tmpl w:val="4A423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1334EC"/>
    <w:multiLevelType w:val="multilevel"/>
    <w:tmpl w:val="19D2C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A45743"/>
    <w:multiLevelType w:val="multilevel"/>
    <w:tmpl w:val="F6386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642792"/>
    <w:multiLevelType w:val="multilevel"/>
    <w:tmpl w:val="9624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1C38F0"/>
    <w:multiLevelType w:val="multilevel"/>
    <w:tmpl w:val="0DDE4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220BC1"/>
    <w:multiLevelType w:val="multilevel"/>
    <w:tmpl w:val="37622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F32DFF"/>
    <w:multiLevelType w:val="multilevel"/>
    <w:tmpl w:val="7C680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195132"/>
    <w:multiLevelType w:val="multilevel"/>
    <w:tmpl w:val="44DE7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F24B01"/>
    <w:multiLevelType w:val="multilevel"/>
    <w:tmpl w:val="33780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3"/>
  </w:num>
  <w:num w:numId="4">
    <w:abstractNumId w:val="18"/>
  </w:num>
  <w:num w:numId="5">
    <w:abstractNumId w:val="2"/>
  </w:num>
  <w:num w:numId="6">
    <w:abstractNumId w:val="1"/>
  </w:num>
  <w:num w:numId="7">
    <w:abstractNumId w:val="15"/>
  </w:num>
  <w:num w:numId="8">
    <w:abstractNumId w:val="16"/>
  </w:num>
  <w:num w:numId="9">
    <w:abstractNumId w:val="11"/>
  </w:num>
  <w:num w:numId="10">
    <w:abstractNumId w:val="0"/>
  </w:num>
  <w:num w:numId="11">
    <w:abstractNumId w:val="4"/>
  </w:num>
  <w:num w:numId="12">
    <w:abstractNumId w:val="6"/>
  </w:num>
  <w:num w:numId="13">
    <w:abstractNumId w:val="19"/>
  </w:num>
  <w:num w:numId="14">
    <w:abstractNumId w:val="5"/>
  </w:num>
  <w:num w:numId="15">
    <w:abstractNumId w:val="10"/>
  </w:num>
  <w:num w:numId="16">
    <w:abstractNumId w:val="8"/>
  </w:num>
  <w:num w:numId="17">
    <w:abstractNumId w:val="12"/>
  </w:num>
  <w:num w:numId="18">
    <w:abstractNumId w:val="20"/>
  </w:num>
  <w:num w:numId="19">
    <w:abstractNumId w:val="17"/>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69"/>
    <w:rsid w:val="004B6C85"/>
    <w:rsid w:val="004E7D69"/>
    <w:rsid w:val="00AA4E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5AE180"/>
  <w15:docId w15:val="{C220FDAA-B53D-FE43-BDB7-AF577B7E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B6C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straitstimes.com/singapore/education/yale-nus-cancels-course-on-dissent-and-resistance" TargetMode="External"/><Relationship Id="rId13" Type="http://schemas.openxmlformats.org/officeDocument/2006/relationships/hyperlink" Target="https://www.channelnewsasia.com/news/singapore/marital-immunity-for-rape-set-to-be-repealed-as-part-of-changes-11229224" TargetMode="External"/><Relationship Id="rId3" Type="http://schemas.openxmlformats.org/officeDocument/2006/relationships/hyperlink" Target="https://www.channelnewsasia.com/news/singapore/gay-father-adopt-surrogate-son-singapore-11039384" TargetMode="External"/><Relationship Id="rId7" Type="http://schemas.openxmlformats.org/officeDocument/2006/relationships/hyperlink" Target="http://www.todayonline.com/singapore/pm-lee-wins-defamation-suit-against-blogger-leong-sze-hian-awarded-s133000-damages" TargetMode="External"/><Relationship Id="rId12" Type="http://schemas.openxmlformats.org/officeDocument/2006/relationships/hyperlink" Target="https://www.mckinsey.com/~/media/McKinsey/Featured%20Insights/Gender%20Equality/The%20power%20of%20parity%20Advancing%20womens%20equality%20in%20Asia%20Pacific/MGI-The-power-of-parity-Advancing-womens-equality-in-Asia-pacific-Executive-summary.pdf" TargetMode="External"/><Relationship Id="rId2" Type="http://schemas.openxmlformats.org/officeDocument/2006/relationships/hyperlink" Target="https://www.todayonline.com/singapore/377a-will-be-around-some-time-will-not-inhibit-how-spore-attracts-tech-talent-pm-lee" TargetMode="External"/><Relationship Id="rId16" Type="http://schemas.openxmlformats.org/officeDocument/2006/relationships/hyperlink" Target="https://www.straitstimes.com/politics/singapore-ge2020-political-broadcasts-to-air-daily-from-july-2-9" TargetMode="External"/><Relationship Id="rId1" Type="http://schemas.openxmlformats.org/officeDocument/2006/relationships/hyperlink" Target="https://www.channelnewsasia.com/news/singapore/377a-challenge-dismissed-high-court-judge-penal-code-12588738" TargetMode="External"/><Relationship Id="rId6" Type="http://schemas.openxmlformats.org/officeDocument/2006/relationships/hyperlink" Target="https://documents-dds-ny.un.org/doc/UNDOC/GEN/G15/252/06/PDF/G1525206.pdf" TargetMode="External"/><Relationship Id="rId11" Type="http://schemas.openxmlformats.org/officeDocument/2006/relationships/hyperlink" Target="https://www.statista.com/statistics/730313/singapore-proportion-of-seats-held-by-women-in-national-parliament/" TargetMode="External"/><Relationship Id="rId5" Type="http://schemas.openxmlformats.org/officeDocument/2006/relationships/hyperlink" Target="https://sso.agc.gov.sg/Act/PC1871?ProvIds=pr499-,pr500-,pr501-,pr502-" TargetMode="External"/><Relationship Id="rId15" Type="http://schemas.openxmlformats.org/officeDocument/2006/relationships/hyperlink" Target="https://www.oxfam.org/en/research/commitment-reducing-inequality-index-2018" TargetMode="External"/><Relationship Id="rId10" Type="http://schemas.openxmlformats.org/officeDocument/2006/relationships/hyperlink" Target="http://www.todayonline.com/singapore/activist-jolovan-wham-chooses-22-days-jail-over-fine-holding-illegal-public-assembly-mrt" TargetMode="External"/><Relationship Id="rId4" Type="http://schemas.openxmlformats.org/officeDocument/2006/relationships/hyperlink" Target="https://www.todayonline.com/commentary/why-singapore-needs-new-ways-tackle-racism-more-effectively" TargetMode="External"/><Relationship Id="rId9" Type="http://schemas.openxmlformats.org/officeDocument/2006/relationships/hyperlink" Target="http://www.channelnewsasia.com/news/singapore/moe-transphobia-protest-3-arrested-student-hormone-therapy-14045320" TargetMode="External"/><Relationship Id="rId14" Type="http://schemas.openxmlformats.org/officeDocument/2006/relationships/hyperlink" Target="https://www.straitstimes.com/singapore/mindsets-must-shift-to-close-gender-pay-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Eden CHUA</cp:lastModifiedBy>
  <cp:revision>2</cp:revision>
  <dcterms:created xsi:type="dcterms:W3CDTF">2021-04-06T04:08:00Z</dcterms:created>
  <dcterms:modified xsi:type="dcterms:W3CDTF">2021-04-06T04:08:00Z</dcterms:modified>
</cp:coreProperties>
</file>