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08C0" w14:textId="77777777" w:rsidR="0015767D" w:rsidRPr="0015767D" w:rsidRDefault="0015767D" w:rsidP="0015767D">
      <w:pPr>
        <w:jc w:val="center"/>
        <w:rPr>
          <w:b/>
          <w:lang w:val="en-GB"/>
        </w:rPr>
      </w:pPr>
      <w:bookmarkStart w:id="0" w:name="_GoBack"/>
      <w:bookmarkEnd w:id="0"/>
      <w:r w:rsidRPr="0015767D">
        <w:rPr>
          <w:b/>
          <w:lang w:val="en-GB"/>
        </w:rPr>
        <w:t>Italy and the Universal Periodic Review of the United Nations Human Rights Council. Playing the two-level game</w:t>
      </w:r>
    </w:p>
    <w:p w14:paraId="40E8A03E" w14:textId="77777777" w:rsidR="0015767D" w:rsidRPr="0015767D" w:rsidRDefault="0015767D" w:rsidP="0015767D">
      <w:pPr>
        <w:rPr>
          <w:lang w:val="en-GB"/>
        </w:rPr>
      </w:pPr>
    </w:p>
    <w:p w14:paraId="375832FB" w14:textId="77777777" w:rsidR="0015767D" w:rsidRPr="0015767D" w:rsidRDefault="0015767D" w:rsidP="0015767D">
      <w:pPr>
        <w:jc w:val="center"/>
        <w:rPr>
          <w:lang w:val="en-GB"/>
        </w:rPr>
      </w:pPr>
      <w:r w:rsidRPr="0015767D">
        <w:rPr>
          <w:lang w:val="en-GB"/>
        </w:rPr>
        <w:t xml:space="preserve">Andrea </w:t>
      </w:r>
      <w:proofErr w:type="spellStart"/>
      <w:r w:rsidRPr="0015767D">
        <w:rPr>
          <w:lang w:val="en-GB"/>
        </w:rPr>
        <w:t>Cofelice</w:t>
      </w:r>
      <w:proofErr w:type="spellEnd"/>
    </w:p>
    <w:p w14:paraId="4DA89376" w14:textId="77777777" w:rsidR="0015767D" w:rsidRDefault="0015767D" w:rsidP="0015767D">
      <w:pPr>
        <w:rPr>
          <w:lang w:val="en-GB"/>
        </w:rPr>
      </w:pPr>
    </w:p>
    <w:p w14:paraId="572DEC42" w14:textId="77777777" w:rsidR="0015767D" w:rsidRPr="0015767D" w:rsidRDefault="0015767D" w:rsidP="0015767D">
      <w:pPr>
        <w:jc w:val="both"/>
        <w:rPr>
          <w:i/>
          <w:lang w:val="en-GB"/>
        </w:rPr>
      </w:pPr>
      <w:r w:rsidRPr="0015767D">
        <w:rPr>
          <w:i/>
          <w:lang w:val="en-GB"/>
        </w:rPr>
        <w:t>Abstract</w:t>
      </w:r>
    </w:p>
    <w:p w14:paraId="17CD8A61" w14:textId="77777777" w:rsidR="00336254" w:rsidRDefault="0015767D" w:rsidP="0015767D">
      <w:pPr>
        <w:jc w:val="both"/>
        <w:rPr>
          <w:lang w:val="en-GB"/>
        </w:rPr>
      </w:pPr>
      <w:r w:rsidRPr="0015767D">
        <w:rPr>
          <w:lang w:val="en-GB"/>
        </w:rPr>
        <w:t xml:space="preserve">The aim of this article is to assess Italy’s behaviour in the framework of the Universal Periodic Review (UPR) of the United Nations Human Rights Council, both as a recommending state and as a state under review. The UPR is a peer review mechanism launched in 2008, through which all UN member states can make recommendations to each other regarding human rights practices. Drawing on role theory, liberal and constructivist institutionalism, and the two-level game approach, the analysis reveals that Italian decision-makers played parallel games at the domestic and international tables of the </w:t>
      </w:r>
      <w:proofErr w:type="gramStart"/>
      <w:r w:rsidRPr="0015767D">
        <w:rPr>
          <w:lang w:val="en-GB"/>
        </w:rPr>
        <w:t>UPR, and</w:t>
      </w:r>
      <w:proofErr w:type="gramEnd"/>
      <w:r w:rsidRPr="0015767D">
        <w:rPr>
          <w:lang w:val="en-GB"/>
        </w:rPr>
        <w:t xml:space="preserve"> managed to adapt country’s human rights foreign policy goals according to the different social contexts where they operated. Indeed, while in the review phase in Geneva, Italy sought legitimacy for both its policies and its status as an international ‘human rights friendly’ actor, at domestic level a policy of inactivity was chosen, in order to minimize the impact of the </w:t>
      </w:r>
      <w:proofErr w:type="gramStart"/>
      <w:r w:rsidRPr="0015767D">
        <w:rPr>
          <w:lang w:val="en-GB"/>
        </w:rPr>
        <w:t>most costly</w:t>
      </w:r>
      <w:proofErr w:type="gramEnd"/>
      <w:r w:rsidRPr="0015767D">
        <w:rPr>
          <w:lang w:val="en-GB"/>
        </w:rPr>
        <w:t xml:space="preserve"> UPR recommendations, and protect the dynamics of domestic politics. The time-span of the analysis covers the first 19 UPR sessions (2008–14), broadly coinciding with Italy’s first two membership terms at the Human Rights Council.</w:t>
      </w:r>
    </w:p>
    <w:p w14:paraId="43425C04" w14:textId="77777777" w:rsidR="0015767D" w:rsidRDefault="0015767D" w:rsidP="0015767D">
      <w:pPr>
        <w:rPr>
          <w:lang w:val="en-GB"/>
        </w:rPr>
      </w:pPr>
    </w:p>
    <w:p w14:paraId="63D0E8CE" w14:textId="77777777" w:rsidR="0015767D" w:rsidRPr="00336254" w:rsidRDefault="00233E39" w:rsidP="0015767D">
      <w:pPr>
        <w:rPr>
          <w:lang w:val="en-GB"/>
        </w:rPr>
      </w:pPr>
      <w:hyperlink r:id="rId4" w:history="1">
        <w:r w:rsidR="0015767D" w:rsidRPr="00B4486E">
          <w:rPr>
            <w:rStyle w:val="Hyperlink"/>
            <w:lang w:val="en-GB"/>
          </w:rPr>
          <w:t>https://doi.org/10.1017/ipo.2017.6</w:t>
        </w:r>
      </w:hyperlink>
    </w:p>
    <w:sectPr w:rsidR="0015767D" w:rsidRPr="003362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54"/>
    <w:rsid w:val="0015767D"/>
    <w:rsid w:val="00167649"/>
    <w:rsid w:val="00233E39"/>
    <w:rsid w:val="00336254"/>
    <w:rsid w:val="00F07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C5E0"/>
  <w15:chartTrackingRefBased/>
  <w15:docId w15:val="{F031F33E-3CEE-4617-8085-B8F48ED7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7D"/>
    <w:rPr>
      <w:color w:val="0563C1" w:themeColor="hyperlink"/>
      <w:u w:val="single"/>
    </w:rPr>
  </w:style>
  <w:style w:type="character" w:styleId="UnresolvedMention">
    <w:name w:val="Unresolved Mention"/>
    <w:basedOn w:val="DefaultParagraphFont"/>
    <w:uiPriority w:val="99"/>
    <w:semiHidden/>
    <w:unhideWhenUsed/>
    <w:rsid w:val="001576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5796">
      <w:bodyDiv w:val="1"/>
      <w:marLeft w:val="0"/>
      <w:marRight w:val="0"/>
      <w:marTop w:val="0"/>
      <w:marBottom w:val="0"/>
      <w:divBdr>
        <w:top w:val="none" w:sz="0" w:space="0" w:color="auto"/>
        <w:left w:val="none" w:sz="0" w:space="0" w:color="auto"/>
        <w:bottom w:val="none" w:sz="0" w:space="0" w:color="auto"/>
        <w:right w:val="none" w:sz="0" w:space="0" w:color="auto"/>
      </w:divBdr>
      <w:divsChild>
        <w:div w:id="1463502913">
          <w:marLeft w:val="0"/>
          <w:marRight w:val="0"/>
          <w:marTop w:val="0"/>
          <w:marBottom w:val="0"/>
          <w:divBdr>
            <w:top w:val="none" w:sz="0" w:space="0" w:color="auto"/>
            <w:left w:val="none" w:sz="0" w:space="0" w:color="auto"/>
            <w:bottom w:val="none" w:sz="0" w:space="0" w:color="auto"/>
            <w:right w:val="none" w:sz="0" w:space="0" w:color="auto"/>
          </w:divBdr>
          <w:divsChild>
            <w:div w:id="1473988038">
              <w:marLeft w:val="13973"/>
              <w:marRight w:val="0"/>
              <w:marTop w:val="0"/>
              <w:marBottom w:val="0"/>
              <w:divBdr>
                <w:top w:val="none" w:sz="0" w:space="0" w:color="auto"/>
                <w:left w:val="none" w:sz="0" w:space="0" w:color="auto"/>
                <w:bottom w:val="none" w:sz="0" w:space="0" w:color="auto"/>
                <w:right w:val="none" w:sz="0" w:space="0" w:color="auto"/>
              </w:divBdr>
            </w:div>
          </w:divsChild>
        </w:div>
        <w:div w:id="843057600">
          <w:marLeft w:val="0"/>
          <w:marRight w:val="0"/>
          <w:marTop w:val="0"/>
          <w:marBottom w:val="0"/>
          <w:divBdr>
            <w:top w:val="none" w:sz="0" w:space="0" w:color="auto"/>
            <w:left w:val="none" w:sz="0" w:space="0" w:color="auto"/>
            <w:bottom w:val="none" w:sz="0" w:space="0" w:color="auto"/>
            <w:right w:val="none" w:sz="0" w:space="0" w:color="auto"/>
          </w:divBdr>
          <w:divsChild>
            <w:div w:id="1422726139">
              <w:marLeft w:val="0"/>
              <w:marRight w:val="0"/>
              <w:marTop w:val="0"/>
              <w:marBottom w:val="0"/>
              <w:divBdr>
                <w:top w:val="none" w:sz="0" w:space="0" w:color="auto"/>
                <w:left w:val="none" w:sz="0" w:space="0" w:color="auto"/>
                <w:bottom w:val="none" w:sz="0" w:space="0" w:color="auto"/>
                <w:right w:val="none" w:sz="0" w:space="0" w:color="auto"/>
              </w:divBdr>
              <w:divsChild>
                <w:div w:id="1177161613">
                  <w:marLeft w:val="0"/>
                  <w:marRight w:val="0"/>
                  <w:marTop w:val="0"/>
                  <w:marBottom w:val="0"/>
                  <w:divBdr>
                    <w:top w:val="none" w:sz="0" w:space="0" w:color="auto"/>
                    <w:left w:val="none" w:sz="0" w:space="0" w:color="auto"/>
                    <w:bottom w:val="none" w:sz="0" w:space="0" w:color="auto"/>
                    <w:right w:val="none" w:sz="0" w:space="0" w:color="auto"/>
                  </w:divBdr>
                </w:div>
              </w:divsChild>
            </w:div>
            <w:div w:id="1816752928">
              <w:marLeft w:val="0"/>
              <w:marRight w:val="0"/>
              <w:marTop w:val="0"/>
              <w:marBottom w:val="0"/>
              <w:divBdr>
                <w:top w:val="none" w:sz="0" w:space="0" w:color="auto"/>
                <w:left w:val="none" w:sz="0" w:space="0" w:color="auto"/>
                <w:bottom w:val="none" w:sz="0" w:space="0" w:color="auto"/>
                <w:right w:val="none" w:sz="0" w:space="0" w:color="auto"/>
              </w:divBdr>
              <w:divsChild>
                <w:div w:id="638997266">
                  <w:marLeft w:val="0"/>
                  <w:marRight w:val="0"/>
                  <w:marTop w:val="0"/>
                  <w:marBottom w:val="0"/>
                  <w:divBdr>
                    <w:top w:val="none" w:sz="0" w:space="0" w:color="auto"/>
                    <w:left w:val="none" w:sz="0" w:space="0" w:color="auto"/>
                    <w:bottom w:val="none" w:sz="0" w:space="0" w:color="auto"/>
                    <w:right w:val="none" w:sz="0" w:space="0" w:color="auto"/>
                  </w:divBdr>
                  <w:divsChild>
                    <w:div w:id="4980739">
                      <w:marLeft w:val="0"/>
                      <w:marRight w:val="0"/>
                      <w:marTop w:val="0"/>
                      <w:marBottom w:val="600"/>
                      <w:divBdr>
                        <w:top w:val="none" w:sz="0" w:space="0" w:color="auto"/>
                        <w:left w:val="none" w:sz="0" w:space="0" w:color="auto"/>
                        <w:bottom w:val="none" w:sz="0" w:space="0" w:color="auto"/>
                        <w:right w:val="none" w:sz="0" w:space="0" w:color="auto"/>
                      </w:divBdr>
                    </w:div>
                    <w:div w:id="1886333762">
                      <w:marLeft w:val="0"/>
                      <w:marRight w:val="0"/>
                      <w:marTop w:val="0"/>
                      <w:marBottom w:val="375"/>
                      <w:divBdr>
                        <w:top w:val="none" w:sz="0" w:space="0" w:color="auto"/>
                        <w:left w:val="none" w:sz="0" w:space="0" w:color="auto"/>
                        <w:bottom w:val="none" w:sz="0" w:space="0" w:color="auto"/>
                        <w:right w:val="none" w:sz="0" w:space="0" w:color="auto"/>
                      </w:divBdr>
                      <w:divsChild>
                        <w:div w:id="520977299">
                          <w:marLeft w:val="0"/>
                          <w:marRight w:val="0"/>
                          <w:marTop w:val="0"/>
                          <w:marBottom w:val="0"/>
                          <w:divBdr>
                            <w:top w:val="none" w:sz="0" w:space="0" w:color="auto"/>
                            <w:left w:val="none" w:sz="0" w:space="0" w:color="auto"/>
                            <w:bottom w:val="none" w:sz="0" w:space="0" w:color="auto"/>
                            <w:right w:val="none" w:sz="0" w:space="0" w:color="auto"/>
                          </w:divBdr>
                          <w:divsChild>
                            <w:div w:id="471943707">
                              <w:marLeft w:val="0"/>
                              <w:marRight w:val="0"/>
                              <w:marTop w:val="0"/>
                              <w:marBottom w:val="0"/>
                              <w:divBdr>
                                <w:top w:val="none" w:sz="0" w:space="0" w:color="auto"/>
                                <w:left w:val="none" w:sz="0" w:space="0" w:color="auto"/>
                                <w:bottom w:val="none" w:sz="0" w:space="0" w:color="auto"/>
                                <w:right w:val="none" w:sz="0" w:space="0" w:color="auto"/>
                              </w:divBdr>
                              <w:divsChild>
                                <w:div w:id="1145968177">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225"/>
                                      <w:divBdr>
                                        <w:top w:val="none" w:sz="0" w:space="0" w:color="auto"/>
                                        <w:left w:val="none" w:sz="0" w:space="0" w:color="auto"/>
                                        <w:bottom w:val="none" w:sz="0" w:space="0" w:color="auto"/>
                                        <w:right w:val="none" w:sz="0" w:space="0" w:color="auto"/>
                                      </w:divBdr>
                                    </w:div>
                                  </w:divsChild>
                                </w:div>
                                <w:div w:id="489637757">
                                  <w:marLeft w:val="0"/>
                                  <w:marRight w:val="0"/>
                                  <w:marTop w:val="0"/>
                                  <w:marBottom w:val="0"/>
                                  <w:divBdr>
                                    <w:top w:val="none" w:sz="0" w:space="0" w:color="auto"/>
                                    <w:left w:val="none" w:sz="0" w:space="0" w:color="auto"/>
                                    <w:bottom w:val="none" w:sz="0" w:space="0" w:color="auto"/>
                                    <w:right w:val="none" w:sz="0" w:space="0" w:color="auto"/>
                                  </w:divBdr>
                                  <w:divsChild>
                                    <w:div w:id="63456832">
                                      <w:marLeft w:val="0"/>
                                      <w:marRight w:val="0"/>
                                      <w:marTop w:val="0"/>
                                      <w:marBottom w:val="0"/>
                                      <w:divBdr>
                                        <w:top w:val="none" w:sz="0" w:space="0" w:color="auto"/>
                                        <w:left w:val="none" w:sz="0" w:space="0" w:color="auto"/>
                                        <w:bottom w:val="none" w:sz="0" w:space="0" w:color="auto"/>
                                        <w:right w:val="none" w:sz="0" w:space="0" w:color="auto"/>
                                      </w:divBdr>
                                      <w:divsChild>
                                        <w:div w:id="13821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7/ipo.201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Giuliand</dc:creator>
  <cp:keywords/>
  <dc:description/>
  <cp:lastModifiedBy>Vincent Bianchini</cp:lastModifiedBy>
  <cp:revision>2</cp:revision>
  <dcterms:created xsi:type="dcterms:W3CDTF">2018-02-14T13:08:00Z</dcterms:created>
  <dcterms:modified xsi:type="dcterms:W3CDTF">2018-02-14T13:08:00Z</dcterms:modified>
</cp:coreProperties>
</file>