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A77731" w14:textId="335BD979" w:rsidR="00D47F9C" w:rsidRPr="00BA08BA" w:rsidRDefault="00D47F9C" w:rsidP="00D47F9C">
      <w:pPr>
        <w:pStyle w:val="Header"/>
        <w:jc w:val="center"/>
        <w:rPr>
          <w:rFonts w:ascii="Cambria" w:hAnsi="Cambria"/>
          <w:b/>
          <w:sz w:val="21"/>
          <w:szCs w:val="21"/>
        </w:rPr>
      </w:pPr>
    </w:p>
    <w:p w14:paraId="2D946A05" w14:textId="77777777" w:rsidR="00D47F9C" w:rsidRPr="00BA08BA" w:rsidRDefault="00D47F9C" w:rsidP="00D47F9C">
      <w:pPr>
        <w:pStyle w:val="Header"/>
        <w:jc w:val="center"/>
        <w:rPr>
          <w:rFonts w:ascii="Cambria" w:hAnsi="Cambria"/>
          <w:b/>
          <w:sz w:val="21"/>
          <w:szCs w:val="21"/>
        </w:rPr>
      </w:pPr>
    </w:p>
    <w:p w14:paraId="31B405C7" w14:textId="77777777" w:rsidR="00D47F9C" w:rsidRPr="00BA08BA" w:rsidRDefault="00D47F9C" w:rsidP="00D47F9C">
      <w:pPr>
        <w:pStyle w:val="Header"/>
        <w:jc w:val="center"/>
        <w:rPr>
          <w:rFonts w:ascii="Cambria" w:hAnsi="Cambria"/>
          <w:b/>
          <w:sz w:val="21"/>
          <w:szCs w:val="21"/>
        </w:rPr>
      </w:pPr>
    </w:p>
    <w:p w14:paraId="624E7377" w14:textId="77777777" w:rsidR="00D47F9C" w:rsidRPr="00BA08BA" w:rsidRDefault="00D47F9C" w:rsidP="00D47F9C">
      <w:pPr>
        <w:pStyle w:val="Header"/>
        <w:jc w:val="center"/>
        <w:rPr>
          <w:rFonts w:ascii="Cambria" w:hAnsi="Cambria"/>
          <w:b/>
          <w:sz w:val="21"/>
          <w:szCs w:val="21"/>
        </w:rPr>
      </w:pPr>
    </w:p>
    <w:p w14:paraId="76B083B4" w14:textId="77777777" w:rsidR="00D47F9C" w:rsidRPr="00BA08BA" w:rsidRDefault="00D47F9C" w:rsidP="00D47F9C">
      <w:pPr>
        <w:pStyle w:val="Header"/>
        <w:jc w:val="center"/>
        <w:rPr>
          <w:rFonts w:ascii="Cambria" w:hAnsi="Cambria"/>
          <w:b/>
          <w:sz w:val="21"/>
          <w:szCs w:val="21"/>
        </w:rPr>
      </w:pPr>
    </w:p>
    <w:p w14:paraId="6CB98AAC" w14:textId="77777777" w:rsidR="00D47F9C" w:rsidRPr="00693B31" w:rsidRDefault="00D47F9C" w:rsidP="00D47F9C">
      <w:pPr>
        <w:pStyle w:val="Header"/>
        <w:jc w:val="center"/>
        <w:rPr>
          <w:rFonts w:ascii="Cambria" w:hAnsi="Cambria" w:cstheme="minorHAnsi"/>
          <w:b/>
          <w:sz w:val="20"/>
          <w:szCs w:val="20"/>
        </w:rPr>
      </w:pPr>
      <w:r w:rsidRPr="00693B31">
        <w:rPr>
          <w:rFonts w:ascii="Cambria" w:hAnsi="Cambria" w:cstheme="minorHAnsi"/>
          <w:b/>
          <w:sz w:val="20"/>
          <w:szCs w:val="20"/>
        </w:rPr>
        <w:t xml:space="preserve">STATEMENT  </w:t>
      </w:r>
    </w:p>
    <w:p w14:paraId="2509D31C" w14:textId="77777777" w:rsidR="00D47F9C" w:rsidRPr="00693B31" w:rsidRDefault="00D47F9C" w:rsidP="00D47F9C">
      <w:pPr>
        <w:pStyle w:val="Header"/>
        <w:jc w:val="center"/>
        <w:rPr>
          <w:rFonts w:ascii="Cambria" w:hAnsi="Cambria" w:cstheme="minorHAnsi"/>
          <w:b/>
          <w:sz w:val="20"/>
          <w:szCs w:val="20"/>
        </w:rPr>
      </w:pPr>
      <w:r w:rsidRPr="00693B31">
        <w:rPr>
          <w:rFonts w:ascii="Cambria" w:hAnsi="Cambria" w:cstheme="minorHAnsi"/>
          <w:b/>
          <w:sz w:val="20"/>
          <w:szCs w:val="20"/>
        </w:rPr>
        <w:t>UPR Pre-Session in IRAQ, Geneve, Octobre  10, 2019</w:t>
      </w:r>
    </w:p>
    <w:p w14:paraId="294923D2" w14:textId="540B94FA" w:rsidR="00BD22C9" w:rsidRPr="00693B31" w:rsidRDefault="00BD22C9" w:rsidP="00D47F9C">
      <w:pPr>
        <w:spacing w:afterLines="200" w:after="480"/>
        <w:jc w:val="both"/>
        <w:rPr>
          <w:rFonts w:ascii="Cambria" w:hAnsi="Cambria" w:cstheme="minorHAnsi"/>
          <w:sz w:val="20"/>
          <w:szCs w:val="20"/>
        </w:rPr>
      </w:pPr>
    </w:p>
    <w:p w14:paraId="3781EE6C" w14:textId="69D41040" w:rsidR="00D47F9C" w:rsidRPr="00CB3EBF" w:rsidRDefault="00BD22C9" w:rsidP="00D47F9C">
      <w:pPr>
        <w:spacing w:afterLines="200" w:after="480"/>
        <w:jc w:val="both"/>
        <w:rPr>
          <w:rFonts w:ascii="Cambria" w:hAnsi="Cambria" w:cstheme="minorHAnsi"/>
          <w:sz w:val="18"/>
          <w:szCs w:val="18"/>
        </w:rPr>
      </w:pPr>
      <w:r w:rsidRPr="00CB3EBF">
        <w:rPr>
          <w:rFonts w:ascii="Cambria" w:hAnsi="Cambria" w:cstheme="minorHAnsi"/>
          <w:sz w:val="18"/>
          <w:szCs w:val="18"/>
        </w:rPr>
        <w:t xml:space="preserve">The Statement is delivered  on behalf of  </w:t>
      </w:r>
      <w:r w:rsidRPr="00CB3EBF">
        <w:rPr>
          <w:rFonts w:ascii="Cambria" w:eastAsiaTheme="minorEastAsia" w:hAnsi="Cambria" w:cstheme="minorHAnsi"/>
          <w:i/>
          <w:iCs/>
          <w:color w:val="000000" w:themeColor="text1"/>
          <w:kern w:val="24"/>
          <w:sz w:val="18"/>
          <w:szCs w:val="18"/>
          <w:lang w:val="en-GB"/>
        </w:rPr>
        <w:t>Women's Legal Assistance Organization (WOLA</w:t>
      </w:r>
      <w:r w:rsidRPr="00CB3EBF">
        <w:rPr>
          <w:rFonts w:ascii="Cambria" w:hAnsi="Cambria" w:cstheme="minorHAnsi"/>
          <w:sz w:val="18"/>
          <w:szCs w:val="18"/>
        </w:rPr>
        <w:t>), Jiyan Foundation for Human Rights and ECPAT International</w:t>
      </w:r>
      <w:r w:rsidR="00C62A3A" w:rsidRPr="00CB3EBF">
        <w:rPr>
          <w:rFonts w:ascii="Cambria" w:hAnsi="Cambria" w:cstheme="minorHAnsi"/>
          <w:sz w:val="18"/>
          <w:szCs w:val="18"/>
        </w:rPr>
        <w:t>. It is g</w:t>
      </w:r>
      <w:r w:rsidRPr="00CB3EBF">
        <w:rPr>
          <w:rFonts w:ascii="Cambria" w:hAnsi="Cambria" w:cstheme="minorHAnsi"/>
          <w:sz w:val="18"/>
          <w:szCs w:val="18"/>
        </w:rPr>
        <w:t xml:space="preserve">rounded on  joint report our three organizations submitted </w:t>
      </w:r>
      <w:r w:rsidR="00C62A3A" w:rsidRPr="00CB3EBF">
        <w:rPr>
          <w:rFonts w:ascii="Cambria" w:hAnsi="Cambria" w:cstheme="minorHAnsi"/>
          <w:sz w:val="18"/>
          <w:szCs w:val="18"/>
        </w:rPr>
        <w:t xml:space="preserve">for </w:t>
      </w:r>
      <w:r w:rsidRPr="00CB3EBF">
        <w:rPr>
          <w:rFonts w:ascii="Cambria" w:hAnsi="Cambria" w:cstheme="minorHAnsi"/>
          <w:sz w:val="18"/>
          <w:szCs w:val="18"/>
        </w:rPr>
        <w:t>the UPR process</w:t>
      </w:r>
      <w:r w:rsidR="00C62A3A" w:rsidRPr="00CB3EBF">
        <w:rPr>
          <w:rFonts w:ascii="Cambria" w:hAnsi="Cambria" w:cstheme="minorHAnsi"/>
          <w:sz w:val="18"/>
          <w:szCs w:val="18"/>
        </w:rPr>
        <w:t xml:space="preserve">,  report </w:t>
      </w:r>
      <w:r w:rsidRPr="00CB3EBF">
        <w:rPr>
          <w:rFonts w:ascii="Cambria" w:hAnsi="Cambria" w:cstheme="minorHAnsi"/>
          <w:sz w:val="18"/>
          <w:szCs w:val="18"/>
        </w:rPr>
        <w:t>based on work experiences and desk research</w:t>
      </w:r>
      <w:r w:rsidR="00C62A3A" w:rsidRPr="00CB3EBF">
        <w:rPr>
          <w:rFonts w:ascii="Cambria" w:hAnsi="Cambria" w:cstheme="minorHAnsi"/>
          <w:sz w:val="18"/>
          <w:szCs w:val="18"/>
        </w:rPr>
        <w:t>es</w:t>
      </w:r>
      <w:r w:rsidRPr="00CB3EBF">
        <w:rPr>
          <w:rFonts w:ascii="Cambria" w:hAnsi="Cambria" w:cstheme="minorHAnsi"/>
          <w:sz w:val="18"/>
          <w:szCs w:val="18"/>
        </w:rPr>
        <w:t xml:space="preserve"> </w:t>
      </w:r>
      <w:r w:rsidRPr="00CB3EBF">
        <w:rPr>
          <w:rFonts w:ascii="Cambria" w:hAnsi="Cambria" w:cstheme="minorHAnsi"/>
          <w:bCs/>
          <w:sz w:val="18"/>
          <w:szCs w:val="18"/>
        </w:rPr>
        <w:t xml:space="preserve"> on Sexual exploitation of children (SEC) </w:t>
      </w:r>
      <w:r w:rsidRPr="00CB3EBF">
        <w:rPr>
          <w:rFonts w:ascii="Cambria" w:hAnsi="Cambria" w:cstheme="minorHAnsi"/>
          <w:sz w:val="18"/>
          <w:szCs w:val="18"/>
        </w:rPr>
        <w:t xml:space="preserve">and </w:t>
      </w:r>
      <w:r w:rsidR="00C62A3A" w:rsidRPr="00CB3EBF">
        <w:rPr>
          <w:rFonts w:ascii="Cambria" w:hAnsi="Cambria" w:cstheme="minorHAnsi"/>
          <w:sz w:val="18"/>
          <w:szCs w:val="18"/>
        </w:rPr>
        <w:t xml:space="preserve">it manifestations,  </w:t>
      </w:r>
      <w:r w:rsidRPr="00CB3EBF">
        <w:rPr>
          <w:rFonts w:ascii="Cambria" w:hAnsi="Cambria" w:cstheme="minorHAnsi"/>
          <w:sz w:val="18"/>
          <w:szCs w:val="18"/>
        </w:rPr>
        <w:t>including</w:t>
      </w:r>
      <w:r w:rsidR="00C62A3A" w:rsidRPr="00CB3EBF">
        <w:rPr>
          <w:rFonts w:ascii="Cambria" w:hAnsi="Cambria" w:cstheme="minorHAnsi"/>
          <w:sz w:val="18"/>
          <w:szCs w:val="18"/>
        </w:rPr>
        <w:t xml:space="preserve"> SEC </w:t>
      </w:r>
      <w:r w:rsidRPr="00CB3EBF">
        <w:rPr>
          <w:rFonts w:ascii="Cambria" w:hAnsi="Cambria" w:cstheme="minorHAnsi"/>
          <w:sz w:val="18"/>
          <w:szCs w:val="18"/>
        </w:rPr>
        <w:t xml:space="preserve"> in prostitution</w:t>
      </w:r>
      <w:r w:rsidR="00C62A3A" w:rsidRPr="00CB3EBF">
        <w:rPr>
          <w:rFonts w:ascii="Cambria" w:hAnsi="Cambria" w:cstheme="minorHAnsi"/>
          <w:sz w:val="18"/>
          <w:szCs w:val="18"/>
        </w:rPr>
        <w:t xml:space="preserve">;  </w:t>
      </w:r>
      <w:r w:rsidRPr="00CB3EBF">
        <w:rPr>
          <w:rFonts w:ascii="Cambria" w:hAnsi="Cambria" w:cstheme="minorHAnsi"/>
          <w:sz w:val="18"/>
          <w:szCs w:val="18"/>
        </w:rPr>
        <w:t>online child sexual exploitation (</w:t>
      </w:r>
      <w:r w:rsidRPr="00CB3EBF">
        <w:rPr>
          <w:rFonts w:ascii="Cambria" w:hAnsi="Cambria" w:cstheme="minorHAnsi"/>
          <w:b/>
          <w:sz w:val="18"/>
          <w:szCs w:val="18"/>
        </w:rPr>
        <w:t>OCSE</w:t>
      </w:r>
      <w:r w:rsidRPr="00CB3EBF">
        <w:rPr>
          <w:rFonts w:ascii="Cambria" w:hAnsi="Cambria" w:cstheme="minorHAnsi"/>
          <w:sz w:val="18"/>
          <w:szCs w:val="18"/>
        </w:rPr>
        <w:t>)</w:t>
      </w:r>
      <w:r w:rsidR="00C62A3A" w:rsidRPr="00CB3EBF">
        <w:rPr>
          <w:rFonts w:ascii="Cambria" w:hAnsi="Cambria" w:cstheme="minorHAnsi"/>
          <w:sz w:val="18"/>
          <w:szCs w:val="18"/>
        </w:rPr>
        <w:t xml:space="preserve"> and </w:t>
      </w:r>
      <w:r w:rsidRPr="00CB3EBF">
        <w:rPr>
          <w:rFonts w:ascii="Cambria" w:hAnsi="Cambria" w:cstheme="minorHAnsi"/>
          <w:sz w:val="18"/>
          <w:szCs w:val="18"/>
        </w:rPr>
        <w:t>child sexual abuse materials (</w:t>
      </w:r>
      <w:r w:rsidRPr="00CB3EBF">
        <w:rPr>
          <w:rFonts w:ascii="Cambria" w:hAnsi="Cambria" w:cstheme="minorHAnsi"/>
          <w:b/>
          <w:sz w:val="18"/>
          <w:szCs w:val="18"/>
        </w:rPr>
        <w:t>CSAM</w:t>
      </w:r>
      <w:r w:rsidRPr="00CB3EBF">
        <w:rPr>
          <w:rFonts w:ascii="Cambria" w:hAnsi="Cambria" w:cstheme="minorHAnsi"/>
          <w:sz w:val="18"/>
          <w:szCs w:val="18"/>
        </w:rPr>
        <w:t>)</w:t>
      </w:r>
      <w:r w:rsidR="00C62A3A" w:rsidRPr="00CB3EBF">
        <w:rPr>
          <w:rFonts w:ascii="Cambria" w:hAnsi="Cambria" w:cstheme="minorHAnsi"/>
          <w:sz w:val="18"/>
          <w:szCs w:val="18"/>
        </w:rPr>
        <w:t xml:space="preserve">;  SEC in </w:t>
      </w:r>
      <w:r w:rsidRPr="00CB3EBF">
        <w:rPr>
          <w:rFonts w:ascii="Cambria" w:hAnsi="Cambria" w:cstheme="minorHAnsi"/>
          <w:sz w:val="18"/>
          <w:szCs w:val="18"/>
        </w:rPr>
        <w:t xml:space="preserve">trafficking </w:t>
      </w:r>
      <w:r w:rsidR="00C62A3A" w:rsidRPr="00CB3EBF">
        <w:rPr>
          <w:rFonts w:ascii="Cambria" w:hAnsi="Cambria" w:cstheme="minorHAnsi"/>
          <w:sz w:val="18"/>
          <w:szCs w:val="18"/>
        </w:rPr>
        <w:t xml:space="preserve">; </w:t>
      </w:r>
      <w:r w:rsidRPr="00CB3EBF">
        <w:rPr>
          <w:rFonts w:ascii="Cambria" w:hAnsi="Cambria" w:cstheme="minorHAnsi"/>
          <w:sz w:val="18"/>
          <w:szCs w:val="18"/>
        </w:rPr>
        <w:t xml:space="preserve"> in context of travel and tourism (</w:t>
      </w:r>
      <w:r w:rsidRPr="00CB3EBF">
        <w:rPr>
          <w:rFonts w:ascii="Cambria" w:hAnsi="Cambria" w:cstheme="minorHAnsi"/>
          <w:b/>
          <w:sz w:val="18"/>
          <w:szCs w:val="18"/>
        </w:rPr>
        <w:t>SECTT</w:t>
      </w:r>
      <w:r w:rsidRPr="00CB3EBF">
        <w:rPr>
          <w:rFonts w:ascii="Cambria" w:hAnsi="Cambria" w:cstheme="minorHAnsi"/>
          <w:sz w:val="18"/>
          <w:szCs w:val="18"/>
        </w:rPr>
        <w:t>)</w:t>
      </w:r>
      <w:r w:rsidRPr="00CB3EBF">
        <w:rPr>
          <w:rStyle w:val="EndnoteReference"/>
          <w:rFonts w:ascii="Cambria" w:hAnsi="Cambria" w:cstheme="minorHAnsi"/>
          <w:sz w:val="18"/>
          <w:szCs w:val="18"/>
        </w:rPr>
        <w:t xml:space="preserve"> </w:t>
      </w:r>
      <w:r w:rsidRPr="00CB3EBF">
        <w:rPr>
          <w:rStyle w:val="EndnoteReference"/>
          <w:rFonts w:ascii="Cambria" w:hAnsi="Cambria" w:cstheme="minorHAnsi"/>
          <w:sz w:val="18"/>
          <w:szCs w:val="18"/>
        </w:rPr>
        <w:endnoteReference w:id="1"/>
      </w:r>
      <w:r w:rsidRPr="00CB3EBF">
        <w:rPr>
          <w:rFonts w:ascii="Cambria" w:hAnsi="Cambria" w:cstheme="minorHAnsi"/>
          <w:sz w:val="18"/>
          <w:szCs w:val="18"/>
        </w:rPr>
        <w:t xml:space="preserve"> and child, early and forced marriage (</w:t>
      </w:r>
      <w:r w:rsidRPr="00CB3EBF">
        <w:rPr>
          <w:rFonts w:ascii="Cambria" w:hAnsi="Cambria" w:cstheme="minorHAnsi"/>
          <w:b/>
          <w:sz w:val="18"/>
          <w:szCs w:val="18"/>
        </w:rPr>
        <w:t>CEFM</w:t>
      </w:r>
      <w:r w:rsidRPr="00CB3EBF">
        <w:rPr>
          <w:rFonts w:ascii="Cambria" w:hAnsi="Cambria" w:cstheme="minorHAnsi"/>
          <w:sz w:val="18"/>
          <w:szCs w:val="18"/>
        </w:rPr>
        <w:t>).</w:t>
      </w:r>
    </w:p>
    <w:p w14:paraId="0EA47689" w14:textId="1B401C14" w:rsidR="00D47F9C" w:rsidRPr="00CB3EBF" w:rsidRDefault="00D47F9C" w:rsidP="00D47F9C">
      <w:pPr>
        <w:spacing w:afterLines="200" w:after="480"/>
        <w:jc w:val="both"/>
        <w:rPr>
          <w:rFonts w:ascii="Cambria" w:eastAsiaTheme="minorEastAsia" w:hAnsi="Cambria" w:cstheme="minorHAnsi"/>
          <w:i/>
          <w:iCs/>
          <w:color w:val="000000" w:themeColor="text1"/>
          <w:kern w:val="24"/>
          <w:sz w:val="18"/>
          <w:szCs w:val="18"/>
          <w:lang w:val="en-GB"/>
        </w:rPr>
      </w:pPr>
      <w:r w:rsidRPr="00CB3EBF">
        <w:rPr>
          <w:rFonts w:ascii="Cambria" w:eastAsiaTheme="minorEastAsia" w:hAnsi="Cambria" w:cstheme="minorHAnsi"/>
          <w:i/>
          <w:iCs/>
          <w:color w:val="000000" w:themeColor="text1"/>
          <w:kern w:val="24"/>
          <w:sz w:val="18"/>
          <w:szCs w:val="18"/>
          <w:lang w:val="en-GB"/>
        </w:rPr>
        <w:t xml:space="preserve">Women's Legal Assistance Organization (WOLA) is a non-political and independent local NGO in Kurdistan region. provide legal assistance  and </w:t>
      </w:r>
      <w:r w:rsidR="00BD22C9" w:rsidRPr="00CB3EBF">
        <w:rPr>
          <w:rFonts w:ascii="Cambria" w:eastAsiaTheme="minorEastAsia" w:hAnsi="Cambria" w:cstheme="minorHAnsi"/>
          <w:i/>
          <w:iCs/>
          <w:color w:val="000000" w:themeColor="text1"/>
          <w:kern w:val="24"/>
          <w:sz w:val="18"/>
          <w:szCs w:val="18"/>
          <w:lang w:val="en-GB"/>
        </w:rPr>
        <w:t>awareness</w:t>
      </w:r>
      <w:r w:rsidRPr="00CB3EBF">
        <w:rPr>
          <w:rFonts w:ascii="Cambria" w:eastAsiaTheme="minorEastAsia" w:hAnsi="Cambria" w:cstheme="minorHAnsi"/>
          <w:i/>
          <w:iCs/>
          <w:color w:val="000000" w:themeColor="text1"/>
          <w:kern w:val="24"/>
          <w:sz w:val="18"/>
          <w:szCs w:val="18"/>
          <w:lang w:val="en-GB"/>
        </w:rPr>
        <w:t xml:space="preserve"> raising  for vulnerable  women and children .and  advocate for women right with in the legal system</w:t>
      </w:r>
    </w:p>
    <w:p w14:paraId="56641C51" w14:textId="77777777" w:rsidR="00D47F9C" w:rsidRPr="00CB3EBF" w:rsidRDefault="00D47F9C" w:rsidP="00D47F9C">
      <w:pPr>
        <w:rPr>
          <w:rFonts w:ascii="Cambria" w:eastAsiaTheme="minorEastAsia" w:hAnsi="Cambria" w:cstheme="minorHAnsi"/>
          <w:i/>
          <w:iCs/>
          <w:color w:val="000000" w:themeColor="text1"/>
          <w:kern w:val="24"/>
          <w:sz w:val="18"/>
          <w:szCs w:val="18"/>
          <w:lang w:val="en-GB"/>
        </w:rPr>
      </w:pPr>
      <w:r w:rsidRPr="00CB3EBF">
        <w:rPr>
          <w:rFonts w:ascii="Cambria" w:eastAsiaTheme="minorEastAsia" w:hAnsi="Cambria" w:cstheme="minorHAnsi"/>
          <w:i/>
          <w:iCs/>
          <w:color w:val="000000" w:themeColor="text1"/>
          <w:kern w:val="24"/>
          <w:sz w:val="18"/>
          <w:szCs w:val="18"/>
          <w:lang w:val="en-GB"/>
        </w:rPr>
        <w:t>The Jiyan Foundation for Human Rights is a non-profit organization promoting the mental well-being, physical rehabilitation, and social reintegration of survivors of (sexual) violence, torture and trauma in Kurdistran.</w:t>
      </w:r>
    </w:p>
    <w:p w14:paraId="599F3241" w14:textId="77777777" w:rsidR="00D47F9C" w:rsidRPr="00CB3EBF" w:rsidRDefault="00D47F9C" w:rsidP="00D47F9C">
      <w:pPr>
        <w:spacing w:after="0" w:line="240" w:lineRule="auto"/>
        <w:jc w:val="both"/>
        <w:rPr>
          <w:rFonts w:ascii="Cambria" w:hAnsi="Cambria" w:cstheme="minorHAnsi"/>
          <w:sz w:val="18"/>
          <w:szCs w:val="18"/>
        </w:rPr>
      </w:pPr>
      <w:r w:rsidRPr="00CB3EBF">
        <w:rPr>
          <w:rFonts w:ascii="Cambria" w:hAnsi="Cambria" w:cstheme="minorHAnsi"/>
          <w:sz w:val="18"/>
          <w:szCs w:val="18"/>
        </w:rPr>
        <w:t>ECPAT International is a global network of 102 organizations in 93 countries whose mission is to prevent and combat sexual exploitation of children (SEC).</w:t>
      </w:r>
    </w:p>
    <w:p w14:paraId="4B57D7DB" w14:textId="77777777" w:rsidR="00D47F9C" w:rsidRPr="00CB3EBF" w:rsidRDefault="00D47F9C" w:rsidP="00D47F9C">
      <w:pPr>
        <w:spacing w:after="0" w:line="240" w:lineRule="auto"/>
        <w:jc w:val="both"/>
        <w:rPr>
          <w:rFonts w:ascii="Cambria" w:hAnsi="Cambria" w:cstheme="minorHAnsi"/>
          <w:sz w:val="18"/>
          <w:szCs w:val="18"/>
        </w:rPr>
      </w:pPr>
    </w:p>
    <w:p w14:paraId="47881738" w14:textId="77777777" w:rsidR="00D267A3" w:rsidRPr="00CB3EBF" w:rsidRDefault="00D267A3">
      <w:pPr>
        <w:rPr>
          <w:rFonts w:ascii="Cambria" w:hAnsi="Cambria"/>
          <w:sz w:val="18"/>
          <w:szCs w:val="18"/>
        </w:rPr>
      </w:pPr>
    </w:p>
    <w:sectPr w:rsidR="00D267A3" w:rsidRPr="00CB3EBF" w:rsidSect="00147830">
      <w:headerReference w:type="default" r:id="rId8"/>
      <w:footerReference w:type="even" r:id="rId9"/>
      <w:footerReference w:type="default" r:id="rId1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F174D6" w14:textId="77777777" w:rsidR="000C6672" w:rsidRDefault="000C6672" w:rsidP="00D47F9C">
      <w:pPr>
        <w:spacing w:after="0" w:line="240" w:lineRule="auto"/>
      </w:pPr>
      <w:r>
        <w:separator/>
      </w:r>
    </w:p>
  </w:endnote>
  <w:endnote w:type="continuationSeparator" w:id="0">
    <w:p w14:paraId="03450CBD" w14:textId="77777777" w:rsidR="000C6672" w:rsidRDefault="000C6672" w:rsidP="00D47F9C">
      <w:pPr>
        <w:spacing w:after="0" w:line="240" w:lineRule="auto"/>
      </w:pPr>
      <w:r>
        <w:continuationSeparator/>
      </w:r>
    </w:p>
  </w:endnote>
  <w:endnote w:id="1">
    <w:p w14:paraId="7265CFEB" w14:textId="77777777" w:rsidR="00BD22C9" w:rsidRPr="00DF0585" w:rsidRDefault="00BD22C9" w:rsidP="00D47F9C">
      <w:pPr>
        <w:pStyle w:val="NoSpacing"/>
        <w:rPr>
          <w:rFonts w:ascii="Cambria" w:hAnsi="Cambria" w:cstheme="minorHAnsi"/>
          <w:sz w:val="18"/>
          <w:szCs w:val="18"/>
          <w:highlight w:val="yellow"/>
          <w:lang w:val="en-US"/>
        </w:rPr>
      </w:pPr>
    </w:p>
    <w:p w14:paraId="46E65E6F" w14:textId="75D9E88A" w:rsidR="00BD22C9" w:rsidRPr="00DF0585" w:rsidRDefault="00BD22C9" w:rsidP="00D47F9C">
      <w:pPr>
        <w:rPr>
          <w:rFonts w:ascii="Cambria" w:hAnsi="Cambria" w:cstheme="minorHAnsi"/>
          <w:b/>
          <w:bCs/>
          <w:color w:val="000000" w:themeColor="text1"/>
          <w:sz w:val="18"/>
          <w:szCs w:val="18"/>
        </w:rPr>
      </w:pPr>
      <w:bookmarkStart w:id="0" w:name="_Toc516673133"/>
      <w:bookmarkStart w:id="1" w:name="_Toc527017700"/>
      <w:bookmarkStart w:id="2" w:name="_Toc1119719"/>
      <w:r w:rsidRPr="00DF0585">
        <w:rPr>
          <w:rFonts w:ascii="Cambria" w:hAnsi="Cambria" w:cstheme="minorHAnsi"/>
          <w:b/>
          <w:bCs/>
          <w:color w:val="000000" w:themeColor="text1"/>
          <w:sz w:val="18"/>
          <w:szCs w:val="18"/>
        </w:rPr>
        <w:t xml:space="preserve">Status and development of </w:t>
      </w:r>
      <w:r w:rsidR="00BA08BA" w:rsidRPr="00DF0585">
        <w:rPr>
          <w:rFonts w:ascii="Cambria" w:hAnsi="Cambria" w:cstheme="minorHAnsi"/>
          <w:b/>
          <w:bCs/>
          <w:color w:val="000000" w:themeColor="text1"/>
          <w:sz w:val="18"/>
          <w:szCs w:val="18"/>
        </w:rPr>
        <w:t xml:space="preserve">SEC </w:t>
      </w:r>
      <w:r w:rsidRPr="00DF0585">
        <w:rPr>
          <w:rFonts w:ascii="Cambria" w:hAnsi="Cambria" w:cstheme="minorHAnsi"/>
          <w:b/>
          <w:bCs/>
          <w:color w:val="000000" w:themeColor="text1"/>
          <w:sz w:val="18"/>
          <w:szCs w:val="18"/>
        </w:rPr>
        <w:t xml:space="preserve">in </w:t>
      </w:r>
      <w:bookmarkEnd w:id="0"/>
      <w:bookmarkEnd w:id="1"/>
      <w:bookmarkEnd w:id="2"/>
      <w:r w:rsidRPr="00DF0585">
        <w:rPr>
          <w:rFonts w:ascii="Cambria" w:hAnsi="Cambria" w:cstheme="minorHAnsi"/>
          <w:b/>
          <w:bCs/>
          <w:color w:val="000000" w:themeColor="text1"/>
          <w:sz w:val="18"/>
          <w:szCs w:val="18"/>
        </w:rPr>
        <w:t xml:space="preserve">Iraq </w:t>
      </w:r>
    </w:p>
    <w:p w14:paraId="62083412" w14:textId="77777777" w:rsidR="00AE35B9" w:rsidRPr="00DF0585" w:rsidRDefault="00AE35B9" w:rsidP="00AE35B9">
      <w:pPr>
        <w:spacing w:afterLines="200" w:after="480"/>
        <w:jc w:val="both"/>
        <w:rPr>
          <w:rFonts w:ascii="Cambria" w:hAnsi="Cambria" w:cstheme="minorHAnsi"/>
          <w:sz w:val="18"/>
          <w:szCs w:val="18"/>
        </w:rPr>
      </w:pPr>
      <w:r w:rsidRPr="00DF0585">
        <w:rPr>
          <w:rFonts w:ascii="Cambria" w:hAnsi="Cambria"/>
          <w:sz w:val="18"/>
          <w:szCs w:val="18"/>
        </w:rPr>
        <w:t>In 2015, the Committee on the Rights of the Child noted with concern that “</w:t>
      </w:r>
      <w:r w:rsidRPr="00DF0585">
        <w:rPr>
          <w:rFonts w:ascii="Cambria" w:hAnsi="Cambria"/>
          <w:i/>
          <w:sz w:val="18"/>
          <w:szCs w:val="18"/>
        </w:rPr>
        <w:t xml:space="preserve">there </w:t>
      </w:r>
      <w:r w:rsidRPr="00DF0585">
        <w:rPr>
          <w:rFonts w:ascii="Cambria" w:hAnsi="Cambria"/>
          <w:b/>
          <w:bCs/>
          <w:i/>
          <w:sz w:val="18"/>
          <w:szCs w:val="18"/>
        </w:rPr>
        <w:t>are cases of girls sold into prostitution being kept in prison</w:t>
      </w:r>
      <w:r w:rsidRPr="00DF0585">
        <w:rPr>
          <w:rFonts w:ascii="Cambria" w:hAnsi="Cambria"/>
          <w:i/>
          <w:sz w:val="18"/>
          <w:szCs w:val="18"/>
        </w:rPr>
        <w:t xml:space="preserve"> to “protect” them from reprisals for bringing shame on their family/community</w:t>
      </w:r>
      <w:r w:rsidRPr="00DF0585">
        <w:rPr>
          <w:rFonts w:ascii="Cambria" w:hAnsi="Cambria"/>
          <w:sz w:val="18"/>
          <w:szCs w:val="18"/>
        </w:rPr>
        <w:t xml:space="preserve">”. </w:t>
      </w:r>
      <w:r w:rsidRPr="00DF0585">
        <w:rPr>
          <w:rFonts w:ascii="Cambria" w:hAnsi="Cambria" w:cs="Times New Roman"/>
          <w:sz w:val="18"/>
          <w:szCs w:val="18"/>
        </w:rPr>
        <w:t>Due to poverty, girls are forced into sex trafficking or prostitution by their families</w:t>
      </w:r>
      <w:r w:rsidRPr="00DF0585">
        <w:rPr>
          <w:rFonts w:ascii="Cambria" w:hAnsi="Cambria"/>
          <w:sz w:val="18"/>
          <w:szCs w:val="18"/>
        </w:rPr>
        <w:t xml:space="preserve"> and </w:t>
      </w:r>
      <w:r w:rsidRPr="00DF0585">
        <w:rPr>
          <w:rFonts w:ascii="Cambria" w:hAnsi="Cambria" w:cs="Times New Roman"/>
          <w:sz w:val="18"/>
          <w:szCs w:val="18"/>
        </w:rPr>
        <w:t>are also sold to criminal networks and are exploited into prostitution</w:t>
      </w:r>
    </w:p>
    <w:p w14:paraId="123B60F5" w14:textId="7F435723" w:rsidR="00AE35B9" w:rsidRPr="00DF0585" w:rsidRDefault="00BD22C9" w:rsidP="00C62A3A">
      <w:pPr>
        <w:spacing w:afterLines="200" w:after="480"/>
        <w:jc w:val="both"/>
        <w:rPr>
          <w:rFonts w:ascii="Cambria" w:hAnsi="Cambria" w:cstheme="minorHAnsi"/>
          <w:sz w:val="18"/>
          <w:szCs w:val="18"/>
        </w:rPr>
      </w:pPr>
      <w:r w:rsidRPr="00DF0585">
        <w:rPr>
          <w:rFonts w:ascii="Cambria" w:hAnsi="Cambria" w:cstheme="minorHAnsi"/>
          <w:sz w:val="18"/>
          <w:szCs w:val="18"/>
        </w:rPr>
        <w:t xml:space="preserve">There is a lack of national data on </w:t>
      </w:r>
      <w:r w:rsidRPr="00DF0585">
        <w:rPr>
          <w:rFonts w:ascii="Cambria" w:hAnsi="Cambria" w:cstheme="minorHAnsi"/>
          <w:b/>
          <w:bCs/>
          <w:color w:val="000000" w:themeColor="text1"/>
          <w:sz w:val="18"/>
          <w:szCs w:val="18"/>
        </w:rPr>
        <w:t>trafficking of children for sexual purposes</w:t>
      </w:r>
      <w:r w:rsidRPr="00DF0585">
        <w:rPr>
          <w:rFonts w:ascii="Cambria" w:hAnsi="Cambria" w:cstheme="minorHAnsi"/>
          <w:sz w:val="18"/>
          <w:szCs w:val="18"/>
        </w:rPr>
        <w:t>. However, it seems that girls are more vulnerable to trafficking for sexual purposes than boys.</w:t>
      </w:r>
    </w:p>
    <w:p w14:paraId="5FF412D2" w14:textId="389106A6" w:rsidR="00DF0585" w:rsidRPr="00DF0585" w:rsidRDefault="00BD22C9" w:rsidP="00AE35B9">
      <w:pPr>
        <w:rPr>
          <w:rFonts w:ascii="Cambria" w:hAnsi="Cambria" w:cstheme="minorHAnsi"/>
          <w:sz w:val="18"/>
          <w:szCs w:val="18"/>
        </w:rPr>
      </w:pPr>
      <w:r w:rsidRPr="00DF0585">
        <w:rPr>
          <w:rFonts w:ascii="Cambria" w:hAnsi="Cambria" w:cstheme="minorHAnsi"/>
          <w:sz w:val="18"/>
          <w:szCs w:val="18"/>
        </w:rPr>
        <w:t xml:space="preserve">The country has witnessed a steady rise in </w:t>
      </w:r>
      <w:r w:rsidRPr="00DF0585">
        <w:rPr>
          <w:rFonts w:ascii="Cambria" w:hAnsi="Cambria" w:cstheme="minorHAnsi"/>
          <w:b/>
          <w:bCs/>
          <w:sz w:val="18"/>
          <w:szCs w:val="18"/>
        </w:rPr>
        <w:t xml:space="preserve">child marriage- under 18- </w:t>
      </w:r>
      <w:r w:rsidRPr="00DF0585">
        <w:rPr>
          <w:rFonts w:ascii="Cambria" w:hAnsi="Cambria" w:cstheme="minorHAnsi"/>
          <w:sz w:val="18"/>
          <w:szCs w:val="18"/>
        </w:rPr>
        <w:t xml:space="preserve"> over the years ( 15 percent in 1997 against 20 per cent in 2012). There are not recently data</w:t>
      </w:r>
      <w:r w:rsidR="00936BF3">
        <w:rPr>
          <w:rFonts w:ascii="Cambria" w:hAnsi="Cambria" w:cstheme="minorHAnsi"/>
          <w:sz w:val="18"/>
          <w:szCs w:val="18"/>
        </w:rPr>
        <w:t xml:space="preserve">, </w:t>
      </w:r>
      <w:r w:rsidRPr="00DF0585">
        <w:rPr>
          <w:rFonts w:ascii="Cambria" w:hAnsi="Cambria" w:cstheme="minorHAnsi"/>
          <w:sz w:val="18"/>
          <w:szCs w:val="18"/>
        </w:rPr>
        <w:t xml:space="preserve"> </w:t>
      </w:r>
      <w:r w:rsidR="00936BF3">
        <w:rPr>
          <w:rFonts w:ascii="Cambria" w:hAnsi="Cambria" w:cstheme="minorHAnsi"/>
          <w:sz w:val="18"/>
          <w:szCs w:val="18"/>
        </w:rPr>
        <w:t xml:space="preserve"> but it </w:t>
      </w:r>
      <w:r w:rsidRPr="00DF0585">
        <w:rPr>
          <w:rFonts w:ascii="Cambria" w:hAnsi="Cambria" w:cstheme="minorHAnsi"/>
          <w:sz w:val="18"/>
          <w:szCs w:val="18"/>
        </w:rPr>
        <w:t>is generally  recognized that  these rates are  most like higher today  since marriages in Iraq and KRI are generally conducted outside the formal legal system</w:t>
      </w:r>
      <w:r w:rsidR="00936BF3">
        <w:rPr>
          <w:rFonts w:ascii="Cambria" w:hAnsi="Cambria" w:cstheme="minorHAnsi"/>
          <w:sz w:val="18"/>
          <w:szCs w:val="18"/>
        </w:rPr>
        <w:t xml:space="preserve">, </w:t>
      </w:r>
      <w:r w:rsidRPr="00DF0585">
        <w:rPr>
          <w:rFonts w:ascii="Cambria" w:hAnsi="Cambria" w:cstheme="minorHAnsi"/>
          <w:sz w:val="18"/>
          <w:szCs w:val="18"/>
        </w:rPr>
        <w:t xml:space="preserve"> by Muslim religious leaders without registration, hence go unreported.</w:t>
      </w:r>
    </w:p>
    <w:p w14:paraId="1C99A265" w14:textId="77777777" w:rsidR="00196CA7" w:rsidRPr="001B7278" w:rsidRDefault="00196CA7" w:rsidP="001B7278">
      <w:pPr>
        <w:pStyle w:val="Heading1"/>
        <w:rPr>
          <w:b/>
          <w:bCs w:val="0"/>
        </w:rPr>
      </w:pPr>
      <w:bookmarkStart w:id="3" w:name="_Toc526240977"/>
    </w:p>
    <w:p w14:paraId="6997CA8A" w14:textId="77777777" w:rsidR="00936BF3" w:rsidRPr="001B7278" w:rsidRDefault="00BD22C9" w:rsidP="001B7278">
      <w:pPr>
        <w:pStyle w:val="Heading1"/>
        <w:rPr>
          <w:b/>
          <w:bCs w:val="0"/>
        </w:rPr>
      </w:pPr>
      <w:r w:rsidRPr="001B7278">
        <w:rPr>
          <w:b/>
          <w:bCs w:val="0"/>
        </w:rPr>
        <w:t>Legislative framework</w:t>
      </w:r>
      <w:bookmarkEnd w:id="3"/>
    </w:p>
    <w:p w14:paraId="2FC5139F" w14:textId="0441C10D" w:rsidR="00BD22C9" w:rsidRPr="001B7278" w:rsidRDefault="00BD22C9" w:rsidP="001B7278">
      <w:pPr>
        <w:pStyle w:val="Heading1"/>
        <w:rPr>
          <w:rFonts w:cstheme="minorHAnsi"/>
        </w:rPr>
      </w:pPr>
      <w:r w:rsidRPr="001B7278">
        <w:t xml:space="preserve">With the administrative breakup of Iraq and KRI, new laws and amendments originating from the Parliament in Baghdad enacted after 1992 are not recognized as applicable in KRI unless expressly endorsed by legislation of the Kurdistan Parliament </w:t>
      </w:r>
      <w:proofErr w:type="gramStart"/>
      <w:r w:rsidRPr="001B7278">
        <w:t>or  are</w:t>
      </w:r>
      <w:proofErr w:type="gramEnd"/>
      <w:r w:rsidRPr="001B7278">
        <w:t xml:space="preserve"> laws relating to the exclusive federal powers as listed in Article 110 of the 2005 Constitution.  </w:t>
      </w:r>
    </w:p>
    <w:p w14:paraId="17877E71" w14:textId="3246C3B1" w:rsidR="00BD22C9" w:rsidRPr="00DF0585" w:rsidRDefault="00693B31" w:rsidP="00036067">
      <w:pPr>
        <w:pStyle w:val="NoSpacing"/>
        <w:rPr>
          <w:rFonts w:ascii="Cambria" w:hAnsi="Cambria"/>
          <w:bCs/>
          <w:sz w:val="18"/>
          <w:szCs w:val="18"/>
          <w:lang w:val="en-US"/>
        </w:rPr>
      </w:pPr>
      <w:r>
        <w:rPr>
          <w:rFonts w:ascii="Cambria" w:hAnsi="Cambria"/>
          <w:b/>
          <w:sz w:val="18"/>
          <w:szCs w:val="18"/>
          <w:lang w:val="en-US"/>
        </w:rPr>
        <w:t xml:space="preserve">SEC </w:t>
      </w:r>
      <w:r w:rsidR="00BD22C9" w:rsidRPr="00DF0585">
        <w:rPr>
          <w:rFonts w:ascii="Cambria" w:hAnsi="Cambria"/>
          <w:b/>
          <w:sz w:val="18"/>
          <w:szCs w:val="18"/>
          <w:lang w:val="en-US"/>
        </w:rPr>
        <w:t xml:space="preserve">in </w:t>
      </w:r>
      <w:proofErr w:type="gramStart"/>
      <w:r w:rsidR="00BD22C9" w:rsidRPr="00DF0585">
        <w:rPr>
          <w:rFonts w:ascii="Cambria" w:hAnsi="Cambria"/>
          <w:b/>
          <w:sz w:val="18"/>
          <w:szCs w:val="18"/>
          <w:lang w:val="en-US"/>
        </w:rPr>
        <w:t>Prostitution</w:t>
      </w:r>
      <w:r w:rsidR="00BD22C9" w:rsidRPr="00DF0585">
        <w:rPr>
          <w:rFonts w:ascii="Cambria" w:hAnsi="Cambria"/>
          <w:bCs/>
          <w:sz w:val="18"/>
          <w:szCs w:val="18"/>
          <w:lang w:val="en-US"/>
        </w:rPr>
        <w:t xml:space="preserve">  </w:t>
      </w:r>
      <w:r w:rsidR="00AE35B9" w:rsidRPr="00DF0585">
        <w:rPr>
          <w:rFonts w:ascii="Cambria" w:hAnsi="Cambria"/>
          <w:bCs/>
          <w:sz w:val="18"/>
          <w:szCs w:val="18"/>
          <w:lang w:val="en-US"/>
        </w:rPr>
        <w:t>:</w:t>
      </w:r>
      <w:proofErr w:type="gramEnd"/>
      <w:r w:rsidR="00AE35B9" w:rsidRPr="00DF0585">
        <w:rPr>
          <w:rFonts w:ascii="Cambria" w:hAnsi="Cambria"/>
          <w:bCs/>
          <w:sz w:val="18"/>
          <w:szCs w:val="18"/>
          <w:lang w:val="en-US"/>
        </w:rPr>
        <w:t xml:space="preserve"> </w:t>
      </w:r>
      <w:r w:rsidR="00BD22C9" w:rsidRPr="00DF0585">
        <w:rPr>
          <w:rFonts w:ascii="Cambria" w:hAnsi="Cambria"/>
          <w:bCs/>
          <w:sz w:val="18"/>
          <w:szCs w:val="18"/>
          <w:lang w:val="en-US"/>
        </w:rPr>
        <w:t xml:space="preserve">Article 399 of the Iraqi Penal Code, which was endorsed by the Kurdish Parliament criminalizes   incitement of and assisting of </w:t>
      </w:r>
      <w:proofErr w:type="spellStart"/>
      <w:r w:rsidR="00BD22C9" w:rsidRPr="00DF0585">
        <w:rPr>
          <w:rFonts w:ascii="Cambria" w:hAnsi="Cambria"/>
          <w:bCs/>
          <w:sz w:val="18"/>
          <w:szCs w:val="18"/>
          <w:lang w:val="en-US"/>
        </w:rPr>
        <w:t>boys</w:t>
      </w:r>
      <w:proofErr w:type="spellEnd"/>
      <w:r w:rsidR="00BD22C9" w:rsidRPr="00DF0585">
        <w:rPr>
          <w:rFonts w:ascii="Cambria" w:hAnsi="Cambria"/>
          <w:bCs/>
          <w:sz w:val="18"/>
          <w:szCs w:val="18"/>
          <w:lang w:val="en-US"/>
        </w:rPr>
        <w:t xml:space="preserve"> and girls’ minors to engage into  prostitution or fornication. The penalty will be a term of imprisonment not exceeding 10 years,  </w:t>
      </w:r>
    </w:p>
    <w:p w14:paraId="440A7770" w14:textId="77777777" w:rsidR="00BD22C9" w:rsidRPr="00DF0585" w:rsidRDefault="00BD22C9" w:rsidP="00D47F9C">
      <w:pPr>
        <w:pStyle w:val="NoSpacing"/>
        <w:rPr>
          <w:rFonts w:ascii="Cambria" w:hAnsi="Cambria"/>
          <w:bCs/>
          <w:sz w:val="18"/>
          <w:szCs w:val="18"/>
          <w:lang w:val="en-US"/>
        </w:rPr>
      </w:pPr>
      <w:r w:rsidRPr="00DF0585">
        <w:rPr>
          <w:rFonts w:ascii="Cambria" w:hAnsi="Cambria"/>
          <w:bCs/>
          <w:sz w:val="18"/>
          <w:szCs w:val="18"/>
          <w:lang w:val="en-US"/>
        </w:rPr>
        <w:t xml:space="preserve"> If the offender was a relative of the victim within three generations ; guardian, protector or custodian ; the victim is the offender’s servant ;  </w:t>
      </w:r>
      <w:r w:rsidRPr="00DF0585">
        <w:rPr>
          <w:rFonts w:ascii="Cambria" w:hAnsi="Cambria" w:cs="Times New Roman"/>
          <w:bCs/>
          <w:sz w:val="18"/>
          <w:szCs w:val="18"/>
          <w:lang w:val="en-US"/>
        </w:rPr>
        <w:t xml:space="preserve">has authority over the victim, or is a public official, religious leader or doctor </w:t>
      </w:r>
    </w:p>
    <w:p w14:paraId="6094DAFA" w14:textId="598D1C0E" w:rsidR="00BD22C9" w:rsidRPr="00DF0585" w:rsidRDefault="00BD22C9" w:rsidP="00D47F9C">
      <w:pPr>
        <w:pStyle w:val="NoSpacing"/>
        <w:rPr>
          <w:rFonts w:ascii="Cambria" w:hAnsi="Cambria" w:cs="Times New Roman"/>
          <w:sz w:val="18"/>
          <w:szCs w:val="18"/>
          <w:lang w:val="en-US"/>
        </w:rPr>
      </w:pPr>
    </w:p>
    <w:p w14:paraId="49A19A1D" w14:textId="77777777" w:rsidR="00BD22C9" w:rsidRPr="00DF0585" w:rsidRDefault="00BD22C9" w:rsidP="00D47F9C">
      <w:pPr>
        <w:pStyle w:val="NoSpacing"/>
        <w:rPr>
          <w:rFonts w:ascii="Cambria" w:hAnsi="Cambria" w:cs="Times New Roman"/>
          <w:bCs/>
          <w:sz w:val="18"/>
          <w:szCs w:val="18"/>
          <w:lang w:val="en-US"/>
        </w:rPr>
      </w:pPr>
      <w:r w:rsidRPr="00DF0585">
        <w:rPr>
          <w:rFonts w:ascii="Cambria" w:hAnsi="Cambria" w:cs="Times New Roman"/>
          <w:bCs/>
          <w:sz w:val="18"/>
          <w:szCs w:val="18"/>
          <w:lang w:val="en-US"/>
        </w:rPr>
        <w:t xml:space="preserve">The legislation does not define ‘child prostitution and the acts prohibited under the Optional Protocol on the sale of children , prostitution and pornography ( OPSC) are not expressly covered in the national legislation which only criminalizes incitement and assistance to engage in prostitution. </w:t>
      </w:r>
    </w:p>
    <w:p w14:paraId="57A21696" w14:textId="77777777" w:rsidR="00BD22C9" w:rsidRPr="00DF0585" w:rsidRDefault="00BD22C9" w:rsidP="00D47F9C">
      <w:pPr>
        <w:pStyle w:val="NoSpacing"/>
        <w:rPr>
          <w:rFonts w:ascii="Cambria" w:hAnsi="Cambria" w:cs="Times New Roman"/>
          <w:sz w:val="18"/>
          <w:szCs w:val="18"/>
          <w:lang w:val="en-US"/>
        </w:rPr>
      </w:pPr>
    </w:p>
    <w:p w14:paraId="00496059" w14:textId="77777777" w:rsidR="00BD22C9" w:rsidRPr="00DF0585" w:rsidRDefault="00BD22C9" w:rsidP="00D47F9C">
      <w:pPr>
        <w:pStyle w:val="NoSpacing"/>
        <w:rPr>
          <w:rFonts w:ascii="Cambria" w:hAnsi="Cambria" w:cs="Times New Roman"/>
          <w:sz w:val="18"/>
          <w:szCs w:val="18"/>
          <w:lang w:val="en-US"/>
        </w:rPr>
      </w:pPr>
    </w:p>
    <w:p w14:paraId="722AB6A4" w14:textId="77777777" w:rsidR="00AE35B9" w:rsidRPr="00DF0585" w:rsidRDefault="00BD22C9" w:rsidP="00D47F9C">
      <w:pPr>
        <w:pStyle w:val="NoSpacing"/>
        <w:rPr>
          <w:rFonts w:ascii="Cambria" w:hAnsi="Cambria"/>
          <w:bCs/>
          <w:sz w:val="18"/>
          <w:szCs w:val="18"/>
          <w:lang w:val="en-US"/>
        </w:rPr>
      </w:pPr>
      <w:r w:rsidRPr="00DF0585">
        <w:rPr>
          <w:rFonts w:ascii="Cambria" w:hAnsi="Cambria" w:cs="Times New Roman"/>
          <w:b/>
          <w:bCs/>
          <w:sz w:val="18"/>
          <w:szCs w:val="18"/>
          <w:lang w:val="en-US"/>
        </w:rPr>
        <w:t xml:space="preserve">Early and Force </w:t>
      </w:r>
      <w:proofErr w:type="gramStart"/>
      <w:r w:rsidRPr="00DF0585">
        <w:rPr>
          <w:rFonts w:ascii="Cambria" w:hAnsi="Cambria" w:cs="Times New Roman"/>
          <w:b/>
          <w:bCs/>
          <w:sz w:val="18"/>
          <w:szCs w:val="18"/>
          <w:lang w:val="en-US"/>
        </w:rPr>
        <w:t>Marriage</w:t>
      </w:r>
      <w:r w:rsidRPr="00DF0585">
        <w:rPr>
          <w:rFonts w:ascii="Cambria" w:hAnsi="Cambria" w:cs="Times New Roman"/>
          <w:sz w:val="18"/>
          <w:szCs w:val="18"/>
          <w:lang w:val="en-US"/>
        </w:rPr>
        <w:t> :</w:t>
      </w:r>
      <w:proofErr w:type="gramEnd"/>
      <w:r w:rsidRPr="00DF0585">
        <w:rPr>
          <w:rFonts w:ascii="Cambria" w:hAnsi="Cambria" w:cs="Times New Roman"/>
          <w:sz w:val="18"/>
          <w:szCs w:val="18"/>
          <w:lang w:val="en-US"/>
        </w:rPr>
        <w:t xml:space="preserve"> </w:t>
      </w:r>
      <w:r w:rsidR="00AE35B9" w:rsidRPr="00DF0585">
        <w:rPr>
          <w:rFonts w:ascii="Cambria" w:hAnsi="Cambria"/>
          <w:bCs/>
          <w:sz w:val="18"/>
          <w:szCs w:val="18"/>
          <w:lang w:val="en-US"/>
        </w:rPr>
        <w:t xml:space="preserve">Marriage is regulated by the Personal Status Law (PSL), which sets the minimum legal age for marriage at 18. </w:t>
      </w:r>
    </w:p>
    <w:p w14:paraId="0008E8BD" w14:textId="77777777" w:rsidR="00AE35B9" w:rsidRPr="00DF0585" w:rsidRDefault="00AE35B9" w:rsidP="00D47F9C">
      <w:pPr>
        <w:pStyle w:val="NoSpacing"/>
        <w:rPr>
          <w:rFonts w:ascii="Cambria" w:hAnsi="Cambria"/>
          <w:bCs/>
          <w:sz w:val="18"/>
          <w:szCs w:val="18"/>
          <w:lang w:val="en-US"/>
        </w:rPr>
      </w:pPr>
    </w:p>
    <w:p w14:paraId="4B6274FB" w14:textId="45540AD3" w:rsidR="00AE35B9" w:rsidRPr="00DF0585" w:rsidRDefault="00AE35B9" w:rsidP="00D47F9C">
      <w:pPr>
        <w:pStyle w:val="NoSpacing"/>
        <w:rPr>
          <w:rFonts w:ascii="Cambria" w:hAnsi="Cambria" w:cs="Times New Roman"/>
          <w:sz w:val="18"/>
          <w:szCs w:val="18"/>
          <w:lang w:val="en-US"/>
        </w:rPr>
      </w:pPr>
      <w:r w:rsidRPr="00DF0585">
        <w:rPr>
          <w:rFonts w:ascii="Cambria" w:hAnsi="Cambria"/>
          <w:bCs/>
          <w:sz w:val="18"/>
          <w:szCs w:val="18"/>
          <w:lang w:val="en-US"/>
        </w:rPr>
        <w:t>The Court can authorize the minor to marry, except if the parent or the guardian explic</w:t>
      </w:r>
      <w:r w:rsidR="00812E77">
        <w:rPr>
          <w:rFonts w:ascii="Cambria" w:hAnsi="Cambria"/>
          <w:bCs/>
          <w:sz w:val="18"/>
          <w:szCs w:val="18"/>
          <w:lang w:val="en-US"/>
        </w:rPr>
        <w:t xml:space="preserve">itly objects to the wedding. </w:t>
      </w:r>
      <w:r w:rsidRPr="00DF0585">
        <w:rPr>
          <w:rFonts w:ascii="Cambria" w:hAnsi="Cambria"/>
          <w:bCs/>
          <w:sz w:val="18"/>
          <w:szCs w:val="18"/>
          <w:lang w:val="en-US"/>
        </w:rPr>
        <w:t xml:space="preserve"> . </w:t>
      </w:r>
      <w:r w:rsidR="00287632" w:rsidRPr="00DF0585">
        <w:rPr>
          <w:rFonts w:ascii="Cambria" w:hAnsi="Cambria"/>
          <w:bCs/>
          <w:sz w:val="18"/>
          <w:szCs w:val="18"/>
          <w:lang w:val="en-US"/>
        </w:rPr>
        <w:t>T</w:t>
      </w:r>
      <w:r w:rsidRPr="00DF0585">
        <w:rPr>
          <w:rFonts w:ascii="Cambria" w:hAnsi="Cambria"/>
          <w:bCs/>
          <w:sz w:val="18"/>
          <w:szCs w:val="18"/>
          <w:lang w:val="en-US"/>
        </w:rPr>
        <w:t>he provisions related to early marriage reiterate the need for the informed consent of the child in the conclusion of the marriage by stating, “</w:t>
      </w:r>
      <w:r w:rsidRPr="00DF0585">
        <w:rPr>
          <w:rFonts w:ascii="Cambria" w:hAnsi="Cambria"/>
          <w:bCs/>
          <w:iCs/>
          <w:sz w:val="18"/>
          <w:szCs w:val="18"/>
          <w:lang w:val="en-US"/>
        </w:rPr>
        <w:t>if a 15-year old person asks to be married</w:t>
      </w:r>
      <w:r w:rsidRPr="00DF0585">
        <w:rPr>
          <w:rFonts w:ascii="Cambria" w:hAnsi="Cambria"/>
          <w:bCs/>
          <w:sz w:val="18"/>
          <w:szCs w:val="18"/>
          <w:lang w:val="en-US"/>
        </w:rPr>
        <w:t>”.</w:t>
      </w:r>
    </w:p>
    <w:p w14:paraId="0D2C9F7D" w14:textId="77777777" w:rsidR="00AE35B9" w:rsidRPr="00DF0585" w:rsidRDefault="00AE35B9" w:rsidP="00D47F9C">
      <w:pPr>
        <w:pStyle w:val="NoSpacing"/>
        <w:rPr>
          <w:rFonts w:ascii="Cambria" w:hAnsi="Cambria" w:cs="Times New Roman"/>
          <w:sz w:val="18"/>
          <w:szCs w:val="18"/>
          <w:lang w:val="en-US"/>
        </w:rPr>
      </w:pPr>
    </w:p>
    <w:p w14:paraId="1A01E05F" w14:textId="31EA863D" w:rsidR="00BD22C9" w:rsidRPr="00DF0585" w:rsidRDefault="00BD22C9" w:rsidP="00D47F9C">
      <w:pPr>
        <w:pStyle w:val="NoSpacing"/>
        <w:rPr>
          <w:rFonts w:ascii="Cambria" w:hAnsi="Cambria" w:cs="Times New Roman"/>
          <w:sz w:val="18"/>
          <w:szCs w:val="18"/>
          <w:lang w:val="en-US"/>
        </w:rPr>
      </w:pPr>
      <w:r w:rsidRPr="00DF0585">
        <w:rPr>
          <w:rFonts w:ascii="Cambria" w:hAnsi="Cambria" w:cs="Times New Roman"/>
          <w:sz w:val="18"/>
          <w:szCs w:val="18"/>
          <w:lang w:val="en-US"/>
        </w:rPr>
        <w:t>Article 398 of the Criminal Code offers to the offender the possibility to legally avoid an investigation and any other judicial proceeding by marrying his victim. This provision is also applicable to cases of sexual intercourse without consent</w:t>
      </w:r>
    </w:p>
    <w:p w14:paraId="0E76CF88" w14:textId="77777777" w:rsidR="00DF0585" w:rsidRPr="00DF0585" w:rsidRDefault="00DF0585" w:rsidP="00D47F9C">
      <w:pPr>
        <w:rPr>
          <w:rFonts w:ascii="Cambria" w:hAnsi="Cambria"/>
          <w:b/>
          <w:sz w:val="18"/>
          <w:szCs w:val="18"/>
        </w:rPr>
      </w:pPr>
    </w:p>
    <w:p w14:paraId="4A0E67EB" w14:textId="63E2CD11" w:rsidR="00DF0585" w:rsidRPr="00EA1FB5" w:rsidRDefault="00693B31" w:rsidP="00EA1FB5">
      <w:pPr>
        <w:rPr>
          <w:rFonts w:ascii="Cambria" w:hAnsi="Cambria"/>
          <w:bCs/>
          <w:sz w:val="18"/>
          <w:szCs w:val="18"/>
        </w:rPr>
      </w:pPr>
      <w:r>
        <w:rPr>
          <w:rFonts w:ascii="Cambria" w:hAnsi="Cambria"/>
          <w:b/>
          <w:sz w:val="18"/>
          <w:szCs w:val="18"/>
        </w:rPr>
        <w:t xml:space="preserve">SEC </w:t>
      </w:r>
      <w:r w:rsidR="00BD22C9" w:rsidRPr="00DF0585">
        <w:rPr>
          <w:rFonts w:ascii="Cambria" w:hAnsi="Cambria"/>
          <w:b/>
          <w:sz w:val="18"/>
          <w:szCs w:val="18"/>
        </w:rPr>
        <w:t>in Trafficking</w:t>
      </w:r>
      <w:r w:rsidR="00BD22C9" w:rsidRPr="00DF0585">
        <w:rPr>
          <w:rFonts w:ascii="Cambria" w:hAnsi="Cambria"/>
          <w:bCs/>
          <w:sz w:val="18"/>
          <w:szCs w:val="18"/>
        </w:rPr>
        <w:t xml:space="preserve">  : Prohibition of trafficking in children is enshrined in Article 37 of the Iraqi Constitution, which states that, “</w:t>
      </w:r>
      <w:r w:rsidR="00BD22C9" w:rsidRPr="00DF0585">
        <w:rPr>
          <w:rFonts w:ascii="Cambria" w:hAnsi="Cambria"/>
          <w:bCs/>
          <w:iCs/>
          <w:sz w:val="18"/>
          <w:szCs w:val="18"/>
        </w:rPr>
        <w:t>forced labor, slavery, slave trade, trafficking in women or children, and sex trade shall be prohibited.</w:t>
      </w:r>
      <w:r w:rsidR="00BD22C9" w:rsidRPr="00DF0585">
        <w:rPr>
          <w:rFonts w:ascii="Cambria" w:hAnsi="Cambria"/>
          <w:bCs/>
          <w:sz w:val="18"/>
          <w:szCs w:val="18"/>
        </w:rPr>
        <w:t>”</w:t>
      </w:r>
    </w:p>
    <w:p w14:paraId="635650B4" w14:textId="590D75A8" w:rsidR="00E423D2" w:rsidRDefault="00693B31" w:rsidP="00E423D2">
      <w:pPr>
        <w:spacing w:after="160"/>
        <w:jc w:val="both"/>
        <w:rPr>
          <w:rFonts w:ascii="Cambria" w:hAnsi="Cambria"/>
          <w:bCs/>
          <w:sz w:val="18"/>
          <w:szCs w:val="18"/>
        </w:rPr>
      </w:pPr>
      <w:r>
        <w:rPr>
          <w:rFonts w:ascii="Cambria" w:hAnsi="Cambria"/>
          <w:b/>
          <w:sz w:val="18"/>
          <w:szCs w:val="18"/>
        </w:rPr>
        <w:t xml:space="preserve">SEC </w:t>
      </w:r>
      <w:r w:rsidR="00BD22C9" w:rsidRPr="00DF0585">
        <w:rPr>
          <w:rFonts w:ascii="Cambria" w:hAnsi="Cambria"/>
          <w:b/>
          <w:sz w:val="18"/>
          <w:szCs w:val="18"/>
        </w:rPr>
        <w:t>in travel and Tourism:</w:t>
      </w:r>
      <w:r w:rsidR="00BD22C9" w:rsidRPr="00DF0585">
        <w:rPr>
          <w:rFonts w:ascii="Cambria" w:hAnsi="Cambria"/>
          <w:bCs/>
          <w:sz w:val="18"/>
          <w:szCs w:val="18"/>
        </w:rPr>
        <w:t xml:space="preserve">  The Iraqi legislation does not address SECTT specifically, and the responsibility of legal persons is not addressed by the Penal Code. Only the 2012 Law on Trafficking specifies that people maybe held criminally responsible if he/she was an accomplice of trafficking.</w:t>
      </w:r>
      <w:r w:rsidR="00BD22C9" w:rsidRPr="00DF0585">
        <w:rPr>
          <w:rStyle w:val="EndnoteReference"/>
          <w:rFonts w:ascii="Cambria" w:hAnsi="Cambria"/>
          <w:bCs/>
          <w:sz w:val="18"/>
          <w:szCs w:val="18"/>
        </w:rPr>
        <w:endnoteRef/>
      </w:r>
    </w:p>
    <w:p w14:paraId="40A96BA6" w14:textId="77777777" w:rsidR="00E423D2" w:rsidRPr="003768C0" w:rsidRDefault="00E423D2" w:rsidP="00E423D2">
      <w:pPr>
        <w:pStyle w:val="NormalWeb"/>
        <w:spacing w:before="115" w:beforeAutospacing="0" w:after="0" w:afterAutospacing="0"/>
        <w:rPr>
          <w:rFonts w:asciiTheme="minorHAnsi" w:eastAsiaTheme="minorEastAsia" w:hAnsi="Georgia" w:cstheme="minorBidi"/>
          <w:color w:val="000000" w:themeColor="text1"/>
          <w:kern w:val="24"/>
        </w:rPr>
      </w:pPr>
      <w:r w:rsidRPr="003768C0">
        <w:rPr>
          <w:rFonts w:asciiTheme="minorHAnsi" w:eastAsiaTheme="minorEastAsia" w:hAnsi="Georgia" w:cstheme="minorBidi"/>
          <w:color w:val="000000" w:themeColor="text1"/>
          <w:kern w:val="24"/>
        </w:rPr>
        <w:t>child trafficking in the IRAQ  under the :</w:t>
      </w:r>
    </w:p>
    <w:p w14:paraId="3E9386F0" w14:textId="77777777" w:rsidR="00E423D2" w:rsidRPr="001B7278" w:rsidRDefault="00E423D2" w:rsidP="00E423D2">
      <w:pPr>
        <w:pStyle w:val="NormalWeb"/>
        <w:spacing w:before="115" w:beforeAutospacing="0" w:after="0" w:afterAutospacing="0"/>
        <w:rPr>
          <w:rFonts w:asciiTheme="minorHAnsi" w:eastAsiaTheme="minorEastAsia" w:hAnsi="Georgia" w:cstheme="minorBidi"/>
          <w:color w:val="000000" w:themeColor="text1"/>
          <w:kern w:val="24"/>
          <w:sz w:val="20"/>
          <w:szCs w:val="20"/>
        </w:rPr>
      </w:pPr>
      <w:r w:rsidRPr="001B7278">
        <w:rPr>
          <w:rFonts w:asciiTheme="minorHAnsi" w:eastAsiaTheme="minorEastAsia" w:hAnsi="Georgia" w:cstheme="minorBidi"/>
          <w:color w:val="000000" w:themeColor="text1"/>
          <w:kern w:val="24"/>
          <w:sz w:val="20"/>
          <w:szCs w:val="20"/>
        </w:rPr>
        <w:t>-</w:t>
      </w:r>
      <w:proofErr w:type="gramStart"/>
      <w:r w:rsidRPr="001B7278">
        <w:rPr>
          <w:rFonts w:asciiTheme="minorHAnsi" w:eastAsiaTheme="minorEastAsia" w:hAnsi="Georgia" w:cstheme="minorBidi"/>
          <w:color w:val="000000" w:themeColor="text1"/>
          <w:kern w:val="24"/>
          <w:sz w:val="20"/>
          <w:szCs w:val="20"/>
        </w:rPr>
        <w:t>Begging ;or</w:t>
      </w:r>
      <w:proofErr w:type="gramEnd"/>
      <w:r w:rsidRPr="001B7278">
        <w:rPr>
          <w:rFonts w:asciiTheme="minorHAnsi" w:eastAsiaTheme="minorEastAsia" w:hAnsi="Georgia" w:cstheme="minorBidi"/>
          <w:color w:val="000000" w:themeColor="text1"/>
          <w:kern w:val="24"/>
          <w:sz w:val="20"/>
          <w:szCs w:val="20"/>
        </w:rPr>
        <w:t xml:space="preserve"> force begging among the most commonly cited cases of TIP involving children was forced begging. Informants described cases of children being </w:t>
      </w:r>
      <w:r w:rsidRPr="001B7278">
        <w:rPr>
          <w:rFonts w:asciiTheme="minorHAnsi" w:eastAsiaTheme="minorEastAsia" w:hAnsi="Georgia" w:cstheme="minorBidi"/>
          <w:color w:val="000000" w:themeColor="text1"/>
          <w:kern w:val="24"/>
          <w:sz w:val="20"/>
          <w:szCs w:val="20"/>
        </w:rPr>
        <w:t>“</w:t>
      </w:r>
      <w:r w:rsidRPr="001B7278">
        <w:rPr>
          <w:rFonts w:asciiTheme="minorHAnsi" w:eastAsiaTheme="minorEastAsia" w:hAnsi="Georgia" w:cstheme="minorBidi"/>
          <w:color w:val="000000" w:themeColor="text1"/>
          <w:kern w:val="24"/>
          <w:sz w:val="20"/>
          <w:szCs w:val="20"/>
        </w:rPr>
        <w:t xml:space="preserve">rented </w:t>
      </w:r>
      <w:proofErr w:type="gramStart"/>
      <w:r w:rsidRPr="001B7278">
        <w:rPr>
          <w:rFonts w:asciiTheme="minorHAnsi" w:eastAsiaTheme="minorEastAsia" w:hAnsi="Georgia" w:cstheme="minorBidi"/>
          <w:color w:val="000000" w:themeColor="text1"/>
          <w:kern w:val="24"/>
          <w:sz w:val="20"/>
          <w:szCs w:val="20"/>
        </w:rPr>
        <w:t>“</w:t>
      </w:r>
      <w:r w:rsidRPr="001B7278">
        <w:rPr>
          <w:rFonts w:asciiTheme="minorHAnsi" w:eastAsiaTheme="minorEastAsia" w:hAnsi="Georgia" w:cstheme="minorBidi"/>
          <w:color w:val="000000" w:themeColor="text1"/>
          <w:kern w:val="24"/>
          <w:sz w:val="20"/>
          <w:szCs w:val="20"/>
        </w:rPr>
        <w:t xml:space="preserve"> by</w:t>
      </w:r>
      <w:proofErr w:type="gramEnd"/>
      <w:r w:rsidRPr="001B7278">
        <w:rPr>
          <w:rFonts w:asciiTheme="minorHAnsi" w:eastAsiaTheme="minorEastAsia" w:hAnsi="Georgia" w:cstheme="minorBidi"/>
          <w:color w:val="000000" w:themeColor="text1"/>
          <w:kern w:val="24"/>
          <w:sz w:val="20"/>
          <w:szCs w:val="20"/>
        </w:rPr>
        <w:t xml:space="preserve"> family members to begging. Victims of forced begging include both boys And </w:t>
      </w:r>
      <w:proofErr w:type="gramStart"/>
      <w:r w:rsidRPr="001B7278">
        <w:rPr>
          <w:rFonts w:asciiTheme="minorHAnsi" w:eastAsiaTheme="minorEastAsia" w:hAnsi="Georgia" w:cstheme="minorBidi"/>
          <w:color w:val="000000" w:themeColor="text1"/>
          <w:kern w:val="24"/>
          <w:sz w:val="20"/>
          <w:szCs w:val="20"/>
        </w:rPr>
        <w:t>girl ,with</w:t>
      </w:r>
      <w:proofErr w:type="gramEnd"/>
      <w:r w:rsidRPr="001B7278">
        <w:rPr>
          <w:rFonts w:asciiTheme="minorHAnsi" w:eastAsiaTheme="minorEastAsia" w:hAnsi="Georgia" w:cstheme="minorBidi"/>
          <w:color w:val="000000" w:themeColor="text1"/>
          <w:kern w:val="24"/>
          <w:sz w:val="20"/>
          <w:szCs w:val="20"/>
        </w:rPr>
        <w:t xml:space="preserve"> IDP and refugee children and those with disabilities cited as at higher risk.</w:t>
      </w:r>
    </w:p>
    <w:p w14:paraId="0162ECC0" w14:textId="7467962E" w:rsidR="00E423D2" w:rsidRPr="001B7278" w:rsidRDefault="00E423D2" w:rsidP="00E423D2">
      <w:pPr>
        <w:pStyle w:val="NormalWeb"/>
        <w:spacing w:before="115" w:beforeAutospacing="0" w:after="0" w:afterAutospacing="0"/>
        <w:rPr>
          <w:rFonts w:asciiTheme="minorHAnsi" w:eastAsiaTheme="minorEastAsia" w:hAnsi="Georgia" w:cstheme="minorBidi"/>
          <w:color w:val="000000" w:themeColor="text1"/>
          <w:kern w:val="24"/>
          <w:sz w:val="20"/>
          <w:szCs w:val="20"/>
        </w:rPr>
      </w:pPr>
      <w:r w:rsidRPr="001B7278">
        <w:rPr>
          <w:rFonts w:asciiTheme="minorHAnsi" w:eastAsiaTheme="minorEastAsia" w:hAnsi="Georgia" w:cstheme="minorBidi"/>
          <w:color w:val="000000" w:themeColor="text1"/>
          <w:kern w:val="24"/>
          <w:sz w:val="20"/>
          <w:szCs w:val="20"/>
        </w:rPr>
        <w:t>-commercial sexual exploitation of children : a limited number of information cited cases of CSES  of  host community ,IDP s and refugee ,key informants cited CSE Taking place under the guise of marriage ,wherein a Father may sell his daughter to man who technically marries her , but then sells her to other men for sexual services .</w:t>
      </w:r>
    </w:p>
    <w:p w14:paraId="185F399B" w14:textId="77777777" w:rsidR="00EA1FB5" w:rsidRDefault="00EA1FB5" w:rsidP="00D47F9C">
      <w:pPr>
        <w:pStyle w:val="NoSpacing"/>
        <w:rPr>
          <w:rFonts w:ascii="Cambria" w:hAnsi="Cambria" w:cstheme="minorHAnsi"/>
          <w:b/>
          <w:bCs/>
          <w:sz w:val="18"/>
          <w:szCs w:val="18"/>
          <w:lang w:val="en-US"/>
        </w:rPr>
      </w:pPr>
    </w:p>
    <w:p w14:paraId="4FA9A9AD" w14:textId="77777777" w:rsidR="00B41380" w:rsidRDefault="00B41380" w:rsidP="00D47F9C">
      <w:pPr>
        <w:pStyle w:val="NoSpacing"/>
        <w:rPr>
          <w:rFonts w:ascii="Cambria" w:hAnsi="Cambria" w:cstheme="minorHAnsi"/>
          <w:b/>
          <w:bCs/>
          <w:sz w:val="18"/>
          <w:szCs w:val="18"/>
          <w:lang w:val="en-US"/>
        </w:rPr>
      </w:pPr>
    </w:p>
    <w:p w14:paraId="3ADF446A" w14:textId="77777777" w:rsidR="00B41380" w:rsidRDefault="00B41380" w:rsidP="00D47F9C">
      <w:pPr>
        <w:pStyle w:val="NoSpacing"/>
        <w:rPr>
          <w:rFonts w:ascii="Cambria" w:hAnsi="Cambria" w:cstheme="minorHAnsi"/>
          <w:b/>
          <w:bCs/>
          <w:sz w:val="18"/>
          <w:szCs w:val="18"/>
          <w:lang w:val="en-US"/>
        </w:rPr>
      </w:pPr>
    </w:p>
    <w:p w14:paraId="225065EF" w14:textId="77777777" w:rsidR="00B41380" w:rsidRDefault="00B41380" w:rsidP="00D47F9C">
      <w:pPr>
        <w:pStyle w:val="NoSpacing"/>
        <w:rPr>
          <w:rFonts w:ascii="Cambria" w:hAnsi="Cambria" w:cstheme="minorHAnsi"/>
          <w:b/>
          <w:bCs/>
          <w:sz w:val="18"/>
          <w:szCs w:val="18"/>
          <w:lang w:val="en-US"/>
        </w:rPr>
      </w:pPr>
    </w:p>
    <w:p w14:paraId="016349FC" w14:textId="77777777" w:rsidR="00B41380" w:rsidRDefault="00B41380" w:rsidP="00D47F9C">
      <w:pPr>
        <w:pStyle w:val="NoSpacing"/>
        <w:rPr>
          <w:rFonts w:ascii="Cambria" w:hAnsi="Cambria" w:cstheme="minorHAnsi"/>
          <w:b/>
          <w:bCs/>
          <w:sz w:val="18"/>
          <w:szCs w:val="18"/>
          <w:lang w:val="en-US"/>
        </w:rPr>
      </w:pPr>
    </w:p>
    <w:p w14:paraId="5919F8F3" w14:textId="77777777" w:rsidR="00B41380" w:rsidRDefault="00B41380" w:rsidP="00D47F9C">
      <w:pPr>
        <w:pStyle w:val="NoSpacing"/>
        <w:rPr>
          <w:rFonts w:ascii="Cambria" w:hAnsi="Cambria" w:cstheme="minorHAnsi"/>
          <w:b/>
          <w:bCs/>
          <w:sz w:val="18"/>
          <w:szCs w:val="18"/>
          <w:lang w:val="en-US"/>
        </w:rPr>
      </w:pPr>
    </w:p>
    <w:p w14:paraId="54706927" w14:textId="77777777" w:rsidR="00B41380" w:rsidRDefault="00B41380" w:rsidP="00D47F9C">
      <w:pPr>
        <w:pStyle w:val="NoSpacing"/>
        <w:rPr>
          <w:rFonts w:ascii="Cambria" w:hAnsi="Cambria" w:cstheme="minorHAnsi"/>
          <w:b/>
          <w:bCs/>
          <w:sz w:val="18"/>
          <w:szCs w:val="18"/>
          <w:lang w:val="en-US"/>
        </w:rPr>
      </w:pPr>
    </w:p>
    <w:p w14:paraId="559ED7CC" w14:textId="1A03A1B4" w:rsidR="00287632" w:rsidRPr="00DF0585" w:rsidRDefault="00287632" w:rsidP="00D47F9C">
      <w:pPr>
        <w:pStyle w:val="NoSpacing"/>
        <w:rPr>
          <w:rFonts w:ascii="Cambria" w:hAnsi="Cambria" w:cstheme="minorHAnsi"/>
          <w:b/>
          <w:bCs/>
          <w:sz w:val="18"/>
          <w:szCs w:val="18"/>
          <w:lang w:val="en-US"/>
        </w:rPr>
      </w:pPr>
      <w:r w:rsidRPr="00DF0585">
        <w:rPr>
          <w:rFonts w:ascii="Cambria" w:hAnsi="Cambria" w:cstheme="minorHAnsi"/>
          <w:b/>
          <w:bCs/>
          <w:sz w:val="18"/>
          <w:szCs w:val="18"/>
          <w:lang w:val="en-US"/>
        </w:rPr>
        <w:t>Recommendation to the Government of Iraq</w:t>
      </w:r>
    </w:p>
    <w:p w14:paraId="55FCCAE9" w14:textId="77777777" w:rsidR="00287632" w:rsidRPr="00DF0585" w:rsidRDefault="00287632" w:rsidP="00D47F9C">
      <w:pPr>
        <w:pStyle w:val="NoSpacing"/>
        <w:rPr>
          <w:rFonts w:ascii="Cambria" w:hAnsi="Cambria" w:cstheme="minorHAnsi"/>
          <w:b/>
          <w:bCs/>
          <w:sz w:val="18"/>
          <w:szCs w:val="18"/>
          <w:lang w:val="en-US"/>
        </w:rPr>
      </w:pPr>
    </w:p>
    <w:p w14:paraId="476117B0" w14:textId="2F1728E3" w:rsidR="00BD22C9" w:rsidRPr="00DF0585" w:rsidRDefault="00BD22C9" w:rsidP="00D47F9C">
      <w:pPr>
        <w:pStyle w:val="NoSpacing"/>
        <w:rPr>
          <w:rFonts w:ascii="Cambria" w:hAnsi="Cambria" w:cstheme="minorHAnsi"/>
          <w:b/>
          <w:bCs/>
          <w:sz w:val="18"/>
          <w:szCs w:val="18"/>
          <w:lang w:val="en-US"/>
        </w:rPr>
      </w:pPr>
      <w:r w:rsidRPr="00DF0585">
        <w:rPr>
          <w:rFonts w:ascii="Cambria" w:hAnsi="Cambria" w:cstheme="minorHAnsi"/>
          <w:b/>
          <w:bCs/>
          <w:sz w:val="18"/>
          <w:szCs w:val="18"/>
          <w:lang w:val="en-US"/>
        </w:rPr>
        <w:t>Leg</w:t>
      </w:r>
      <w:r w:rsidR="00974924">
        <w:rPr>
          <w:rFonts w:ascii="Cambria" w:hAnsi="Cambria" w:cstheme="minorHAnsi"/>
          <w:b/>
          <w:bCs/>
          <w:sz w:val="18"/>
          <w:szCs w:val="18"/>
          <w:lang w:val="en-US"/>
        </w:rPr>
        <w:t xml:space="preserve">islative </w:t>
      </w:r>
      <w:r w:rsidRPr="00DF0585">
        <w:rPr>
          <w:rFonts w:ascii="Cambria" w:hAnsi="Cambria" w:cstheme="minorHAnsi"/>
          <w:b/>
          <w:bCs/>
          <w:sz w:val="18"/>
          <w:szCs w:val="18"/>
          <w:lang w:val="en-US"/>
        </w:rPr>
        <w:t>Frame</w:t>
      </w:r>
      <w:r w:rsidR="00974924">
        <w:rPr>
          <w:rFonts w:ascii="Cambria" w:hAnsi="Cambria" w:cstheme="minorHAnsi"/>
          <w:b/>
          <w:bCs/>
          <w:sz w:val="18"/>
          <w:szCs w:val="18"/>
          <w:lang w:val="en-US"/>
        </w:rPr>
        <w:t>w</w:t>
      </w:r>
      <w:r w:rsidRPr="00DF0585">
        <w:rPr>
          <w:rFonts w:ascii="Cambria" w:hAnsi="Cambria" w:cstheme="minorHAnsi"/>
          <w:b/>
          <w:bCs/>
          <w:sz w:val="18"/>
          <w:szCs w:val="18"/>
          <w:lang w:val="en-US"/>
        </w:rPr>
        <w:t>ork</w:t>
      </w:r>
    </w:p>
    <w:p w14:paraId="72D686FD" w14:textId="77777777" w:rsidR="00BD22C9" w:rsidRPr="00DF0585" w:rsidRDefault="00BD22C9" w:rsidP="00D47F9C">
      <w:pPr>
        <w:pStyle w:val="NoSpacing"/>
        <w:rPr>
          <w:rFonts w:ascii="Cambria" w:hAnsi="Cambria" w:cstheme="minorHAnsi"/>
          <w:sz w:val="18"/>
          <w:szCs w:val="18"/>
          <w:lang w:val="en-US"/>
        </w:rPr>
      </w:pPr>
    </w:p>
    <w:p w14:paraId="59ABFF90" w14:textId="438D700B" w:rsidR="00196CA7" w:rsidRPr="00B65A2A" w:rsidRDefault="00BD22C9" w:rsidP="00B65A2A">
      <w:pPr>
        <w:pStyle w:val="Standard"/>
        <w:shd w:val="clear" w:color="auto" w:fill="F2F2F2" w:themeFill="background1" w:themeFillShade="F2"/>
        <w:spacing w:before="86" w:line="276" w:lineRule="auto"/>
        <w:jc w:val="both"/>
        <w:rPr>
          <w:rFonts w:ascii="Cambria" w:hAnsi="Cambria" w:cstheme="minorHAnsi"/>
          <w:sz w:val="18"/>
          <w:szCs w:val="18"/>
          <w:lang w:val="en-US"/>
        </w:rPr>
      </w:pPr>
      <w:r w:rsidRPr="00DF0585">
        <w:rPr>
          <w:rFonts w:ascii="Cambria" w:hAnsi="Cambria" w:cs="Times New Roman"/>
          <w:iCs/>
          <w:sz w:val="18"/>
          <w:szCs w:val="18"/>
          <w:lang w:val="en-US"/>
        </w:rPr>
        <w:t>Provide legal definitions and criminalize all manifestations of in accordance with regional and international standards;</w:t>
      </w:r>
    </w:p>
    <w:p w14:paraId="0D032C64" w14:textId="77777777" w:rsidR="00BD22C9" w:rsidRPr="00DF0585" w:rsidRDefault="00BD22C9" w:rsidP="00B65A2A">
      <w:pPr>
        <w:pStyle w:val="Standard"/>
        <w:shd w:val="clear" w:color="auto" w:fill="F2F2F2" w:themeFill="background1" w:themeFillShade="F2"/>
        <w:spacing w:before="86" w:line="276" w:lineRule="auto"/>
        <w:jc w:val="both"/>
        <w:rPr>
          <w:rFonts w:ascii="Cambria" w:hAnsi="Cambria" w:cstheme="minorHAnsi"/>
          <w:sz w:val="18"/>
          <w:szCs w:val="18"/>
          <w:lang w:val="en-US"/>
        </w:rPr>
      </w:pPr>
      <w:r w:rsidRPr="00DF0585">
        <w:rPr>
          <w:rFonts w:ascii="Cambria" w:hAnsi="Cambria"/>
          <w:bCs/>
          <w:sz w:val="18"/>
          <w:szCs w:val="18"/>
          <w:lang w:val="en-US"/>
        </w:rPr>
        <w:t>Repeal the nonconsummation of the marriage as a condition to invalidate a forced marriage and Article 398 of the Penal Code that allows perpetrators to escape justice by marrying their victim;</w:t>
      </w:r>
    </w:p>
    <w:p w14:paraId="4DCAB5EB" w14:textId="77777777" w:rsidR="00BD22C9" w:rsidRPr="00DF0585" w:rsidRDefault="00BD22C9" w:rsidP="00B65A2A">
      <w:pPr>
        <w:pStyle w:val="Standard"/>
        <w:shd w:val="clear" w:color="auto" w:fill="F2F2F2" w:themeFill="background1" w:themeFillShade="F2"/>
        <w:spacing w:before="86" w:line="276" w:lineRule="auto"/>
        <w:jc w:val="both"/>
        <w:rPr>
          <w:rFonts w:ascii="Cambria" w:hAnsi="Cambria" w:cstheme="minorHAnsi"/>
          <w:sz w:val="18"/>
          <w:szCs w:val="18"/>
          <w:lang w:val="en-US"/>
        </w:rPr>
      </w:pPr>
      <w:r w:rsidRPr="00DF0585">
        <w:rPr>
          <w:rFonts w:ascii="Cambria" w:hAnsi="Cambria"/>
          <w:bCs/>
          <w:sz w:val="18"/>
          <w:szCs w:val="18"/>
          <w:lang w:val="en-US"/>
        </w:rPr>
        <w:t>Amend the 2012 Law on Trafficking to consider trafficking of children as an offence independently of the means used;</w:t>
      </w:r>
    </w:p>
    <w:p w14:paraId="74B1DE0C" w14:textId="77777777" w:rsidR="00BD22C9" w:rsidRPr="00DF0585" w:rsidRDefault="00BD22C9" w:rsidP="00B65A2A">
      <w:pPr>
        <w:pStyle w:val="Standard"/>
        <w:shd w:val="clear" w:color="auto" w:fill="F2F2F2" w:themeFill="background1" w:themeFillShade="F2"/>
        <w:spacing w:before="86" w:line="276" w:lineRule="auto"/>
        <w:jc w:val="both"/>
        <w:rPr>
          <w:rFonts w:ascii="Cambria" w:hAnsi="Cambria" w:cstheme="minorHAnsi"/>
          <w:sz w:val="18"/>
          <w:szCs w:val="18"/>
          <w:lang w:val="en-US"/>
        </w:rPr>
      </w:pPr>
      <w:r w:rsidRPr="00DF0585">
        <w:rPr>
          <w:rFonts w:ascii="Cambria" w:hAnsi="Cambria"/>
          <w:bCs/>
          <w:sz w:val="18"/>
          <w:szCs w:val="18"/>
          <w:lang w:val="en-US"/>
        </w:rPr>
        <w:t>For the Kurdish region: adopt a trafficking act in conformity with the Protocol to Prevent, Suppress and Punish Trafficking in Persons Especially Women and Children, supplementing the United Nations Convention against Transnational Organized Crime;</w:t>
      </w:r>
    </w:p>
    <w:p w14:paraId="05398B5F" w14:textId="2B57DF28" w:rsidR="00693B31" w:rsidRDefault="00BD22C9" w:rsidP="00B65A2A">
      <w:pPr>
        <w:pStyle w:val="Standard"/>
        <w:shd w:val="clear" w:color="auto" w:fill="F2F2F2" w:themeFill="background1" w:themeFillShade="F2"/>
        <w:spacing w:before="86" w:line="276" w:lineRule="auto"/>
        <w:jc w:val="both"/>
        <w:rPr>
          <w:rFonts w:ascii="Cambria" w:hAnsi="Cambria"/>
          <w:bCs/>
          <w:sz w:val="18"/>
          <w:szCs w:val="18"/>
          <w:lang w:val="en-US"/>
        </w:rPr>
      </w:pPr>
      <w:r w:rsidRPr="00DF0585">
        <w:rPr>
          <w:rFonts w:ascii="Cambria" w:hAnsi="Cambria"/>
          <w:bCs/>
          <w:sz w:val="18"/>
          <w:szCs w:val="18"/>
          <w:lang w:val="en-US"/>
        </w:rPr>
        <w:t>Amend the relevant provisions in the Criminal Code to recognize jurisdictions over crimes committed abroad against victims of Iraqi nationality.</w:t>
      </w:r>
    </w:p>
    <w:p w14:paraId="6518D18D" w14:textId="77777777" w:rsidR="00E423D2" w:rsidRDefault="00E423D2" w:rsidP="00B65A2A">
      <w:pPr>
        <w:pStyle w:val="Standard"/>
        <w:shd w:val="clear" w:color="auto" w:fill="F2F2F2" w:themeFill="background1" w:themeFillShade="F2"/>
        <w:spacing w:before="86" w:line="276" w:lineRule="auto"/>
        <w:jc w:val="both"/>
        <w:rPr>
          <w:rFonts w:ascii="Cambria" w:hAnsi="Cambria" w:cstheme="minorHAnsi"/>
          <w:sz w:val="18"/>
          <w:szCs w:val="18"/>
          <w:lang w:val="en-US"/>
        </w:rPr>
      </w:pPr>
    </w:p>
    <w:p w14:paraId="5D7C06B1" w14:textId="47B85249" w:rsidR="00BD22C9" w:rsidRPr="00DF0585" w:rsidRDefault="00BD22C9" w:rsidP="00B41380">
      <w:pPr>
        <w:pStyle w:val="Heading1"/>
        <w:spacing w:afterLines="100" w:after="240"/>
      </w:pPr>
      <w:r w:rsidRPr="00DF0585">
        <w:t>General measures of implementation</w:t>
      </w:r>
    </w:p>
    <w:p w14:paraId="7A199315" w14:textId="4A39AAF5" w:rsidR="00BD22C9" w:rsidRPr="00DF0585" w:rsidRDefault="00BD22C9" w:rsidP="00B65A2A">
      <w:pPr>
        <w:pStyle w:val="Standard"/>
        <w:shd w:val="clear" w:color="auto" w:fill="F2F2F2" w:themeFill="background1" w:themeFillShade="F2"/>
        <w:spacing w:before="86" w:line="276" w:lineRule="auto"/>
        <w:jc w:val="both"/>
        <w:rPr>
          <w:rFonts w:ascii="Cambria" w:hAnsi="Cambria" w:cstheme="minorHAnsi"/>
          <w:sz w:val="18"/>
          <w:szCs w:val="18"/>
          <w:lang w:val="en-US"/>
        </w:rPr>
      </w:pPr>
      <w:r w:rsidRPr="00DF0585">
        <w:rPr>
          <w:rFonts w:ascii="Cambria" w:hAnsi="Cambria" w:cstheme="minorHAnsi"/>
          <w:sz w:val="18"/>
          <w:szCs w:val="18"/>
          <w:lang w:val="en-US"/>
        </w:rPr>
        <w:t xml:space="preserve">Adopt a specific national action plan to end </w:t>
      </w:r>
      <w:r w:rsidR="00CB3EBF">
        <w:rPr>
          <w:rFonts w:ascii="Cambria" w:hAnsi="Cambria" w:cstheme="minorHAnsi"/>
          <w:sz w:val="18"/>
          <w:szCs w:val="18"/>
          <w:lang w:val="en-US"/>
        </w:rPr>
        <w:t xml:space="preserve">SEC </w:t>
      </w:r>
      <w:r w:rsidRPr="00DF0585">
        <w:rPr>
          <w:rFonts w:ascii="Cambria" w:hAnsi="Cambria" w:cstheme="minorHAnsi"/>
          <w:sz w:val="18"/>
          <w:szCs w:val="18"/>
          <w:lang w:val="en-US"/>
        </w:rPr>
        <w:t>with specific goals, targets, indicators and timeframe</w:t>
      </w:r>
    </w:p>
    <w:p w14:paraId="62710D9B" w14:textId="042C0E21" w:rsidR="00CB3EBF" w:rsidRDefault="00BD22C9" w:rsidP="00B65A2A">
      <w:pPr>
        <w:pStyle w:val="Standard"/>
        <w:shd w:val="clear" w:color="auto" w:fill="F2F2F2" w:themeFill="background1" w:themeFillShade="F2"/>
        <w:spacing w:before="86" w:line="276" w:lineRule="auto"/>
        <w:jc w:val="both"/>
        <w:rPr>
          <w:rFonts w:ascii="Cambria" w:hAnsi="Cambria" w:cstheme="minorHAnsi"/>
          <w:sz w:val="18"/>
          <w:szCs w:val="18"/>
          <w:lang w:val="en-US"/>
        </w:rPr>
      </w:pPr>
      <w:r w:rsidRPr="00DF0585">
        <w:rPr>
          <w:rFonts w:ascii="Cambria" w:hAnsi="Cambria" w:cstheme="minorHAnsi"/>
          <w:sz w:val="18"/>
          <w:szCs w:val="18"/>
          <w:lang w:val="en-US"/>
        </w:rPr>
        <w:t xml:space="preserve">Implement a dedicated coordination body on </w:t>
      </w:r>
      <w:r w:rsidR="00CB3EBF">
        <w:rPr>
          <w:rFonts w:ascii="Cambria" w:hAnsi="Cambria" w:cstheme="minorHAnsi"/>
          <w:sz w:val="18"/>
          <w:szCs w:val="18"/>
          <w:lang w:val="en-US"/>
        </w:rPr>
        <w:t xml:space="preserve">SEC </w:t>
      </w:r>
      <w:r w:rsidRPr="00DF0585">
        <w:rPr>
          <w:rFonts w:ascii="Cambria" w:hAnsi="Cambria" w:cstheme="minorHAnsi"/>
          <w:sz w:val="18"/>
          <w:szCs w:val="18"/>
          <w:lang w:val="en-US"/>
        </w:rPr>
        <w:t xml:space="preserve">with a specific mandate and the necessary authority to coordinate, monitor and evaluate </w:t>
      </w:r>
      <w:proofErr w:type="gramStart"/>
      <w:r w:rsidR="00CB3EBF">
        <w:rPr>
          <w:rFonts w:ascii="Cambria" w:hAnsi="Cambria" w:cstheme="minorHAnsi"/>
          <w:sz w:val="18"/>
          <w:szCs w:val="18"/>
          <w:lang w:val="en-US"/>
        </w:rPr>
        <w:t>SEC ‘s</w:t>
      </w:r>
      <w:proofErr w:type="gramEnd"/>
      <w:r w:rsidR="00CB3EBF">
        <w:rPr>
          <w:rFonts w:ascii="Cambria" w:hAnsi="Cambria" w:cstheme="minorHAnsi"/>
          <w:sz w:val="18"/>
          <w:szCs w:val="18"/>
          <w:lang w:val="en-US"/>
        </w:rPr>
        <w:t xml:space="preserve"> </w:t>
      </w:r>
      <w:r w:rsidRPr="00DF0585">
        <w:rPr>
          <w:rFonts w:ascii="Cambria" w:hAnsi="Cambria" w:cstheme="minorHAnsi"/>
          <w:sz w:val="18"/>
          <w:szCs w:val="18"/>
          <w:lang w:val="en-US"/>
        </w:rPr>
        <w:t>cases.</w:t>
      </w:r>
    </w:p>
    <w:p w14:paraId="2926BDCA" w14:textId="77777777" w:rsidR="00E423D2" w:rsidRDefault="00E423D2" w:rsidP="00B65A2A">
      <w:pPr>
        <w:pStyle w:val="Standard"/>
        <w:shd w:val="clear" w:color="auto" w:fill="F2F2F2" w:themeFill="background1" w:themeFillShade="F2"/>
        <w:spacing w:before="86" w:line="276" w:lineRule="auto"/>
        <w:jc w:val="both"/>
        <w:rPr>
          <w:rFonts w:ascii="Cambria" w:hAnsi="Cambria" w:cstheme="minorHAnsi"/>
          <w:sz w:val="18"/>
          <w:szCs w:val="18"/>
          <w:lang w:val="en-US"/>
        </w:rPr>
      </w:pPr>
    </w:p>
    <w:p w14:paraId="03595C72" w14:textId="65CF72B9" w:rsidR="00BD22C9" w:rsidRPr="00DF0585" w:rsidRDefault="00BD22C9" w:rsidP="00B41380">
      <w:pPr>
        <w:pStyle w:val="Heading1"/>
        <w:spacing w:afterLines="100" w:after="240"/>
      </w:pPr>
      <w:r w:rsidRPr="00DF0585">
        <w:t xml:space="preserve">Coordination and evaluation </w:t>
      </w:r>
    </w:p>
    <w:p w14:paraId="4E4BB1E5" w14:textId="48F46AEB" w:rsidR="00E423D2" w:rsidRDefault="00BD22C9" w:rsidP="00B65A2A">
      <w:pPr>
        <w:pStyle w:val="Standard"/>
        <w:shd w:val="clear" w:color="auto" w:fill="F2F2F2" w:themeFill="background1" w:themeFillShade="F2"/>
        <w:spacing w:before="86" w:line="276" w:lineRule="auto"/>
        <w:jc w:val="both"/>
        <w:rPr>
          <w:rFonts w:ascii="Cambria" w:hAnsi="Cambria" w:cstheme="minorHAnsi"/>
          <w:sz w:val="18"/>
          <w:szCs w:val="18"/>
          <w:lang w:val="en-US"/>
        </w:rPr>
      </w:pPr>
      <w:r w:rsidRPr="00DF0585">
        <w:rPr>
          <w:rFonts w:ascii="Cambria" w:hAnsi="Cambria" w:cstheme="minorHAnsi"/>
          <w:sz w:val="18"/>
          <w:szCs w:val="18"/>
          <w:lang w:val="en-US"/>
        </w:rPr>
        <w:t xml:space="preserve">Implement a dedicated coordination body </w:t>
      </w:r>
      <w:proofErr w:type="gramStart"/>
      <w:r w:rsidRPr="00DF0585">
        <w:rPr>
          <w:rFonts w:ascii="Cambria" w:hAnsi="Cambria" w:cstheme="minorHAnsi"/>
          <w:sz w:val="18"/>
          <w:szCs w:val="18"/>
          <w:lang w:val="en-US"/>
        </w:rPr>
        <w:t xml:space="preserve">on </w:t>
      </w:r>
      <w:r w:rsidR="00CB3EBF">
        <w:rPr>
          <w:rFonts w:ascii="Cambria" w:hAnsi="Cambria" w:cstheme="minorHAnsi"/>
          <w:sz w:val="18"/>
          <w:szCs w:val="18"/>
          <w:lang w:val="en-US"/>
        </w:rPr>
        <w:t xml:space="preserve"> SEC</w:t>
      </w:r>
      <w:proofErr w:type="gramEnd"/>
      <w:r w:rsidR="00CB3EBF">
        <w:rPr>
          <w:rFonts w:ascii="Cambria" w:hAnsi="Cambria" w:cstheme="minorHAnsi"/>
          <w:sz w:val="18"/>
          <w:szCs w:val="18"/>
          <w:lang w:val="en-US"/>
        </w:rPr>
        <w:t xml:space="preserve"> </w:t>
      </w:r>
      <w:r w:rsidRPr="00DF0585">
        <w:rPr>
          <w:rFonts w:ascii="Cambria" w:hAnsi="Cambria" w:cstheme="minorHAnsi"/>
          <w:sz w:val="18"/>
          <w:szCs w:val="18"/>
          <w:lang w:val="en-US"/>
        </w:rPr>
        <w:t>with a specific mandate and the necessary authority to coordinate, monitor and evaluate</w:t>
      </w:r>
      <w:r w:rsidR="00CB3EBF">
        <w:rPr>
          <w:rFonts w:ascii="Cambria" w:hAnsi="Cambria" w:cstheme="minorHAnsi"/>
          <w:sz w:val="18"/>
          <w:szCs w:val="18"/>
          <w:lang w:val="en-US"/>
        </w:rPr>
        <w:t xml:space="preserve"> SEC’s </w:t>
      </w:r>
      <w:r w:rsidRPr="00DF0585">
        <w:rPr>
          <w:rFonts w:ascii="Cambria" w:hAnsi="Cambria" w:cstheme="minorHAnsi"/>
          <w:sz w:val="18"/>
          <w:szCs w:val="18"/>
          <w:lang w:val="en-US"/>
        </w:rPr>
        <w:t xml:space="preserve"> cases.</w:t>
      </w:r>
    </w:p>
    <w:p w14:paraId="63B69335" w14:textId="77777777" w:rsidR="00E423D2" w:rsidRPr="00E423D2" w:rsidRDefault="00E423D2" w:rsidP="00B65A2A">
      <w:pPr>
        <w:pStyle w:val="Standard"/>
        <w:shd w:val="clear" w:color="auto" w:fill="F2F2F2" w:themeFill="background1" w:themeFillShade="F2"/>
        <w:spacing w:before="86" w:line="276" w:lineRule="auto"/>
        <w:jc w:val="both"/>
        <w:rPr>
          <w:rFonts w:ascii="Cambria" w:hAnsi="Cambria" w:cstheme="minorHAnsi"/>
          <w:sz w:val="18"/>
          <w:szCs w:val="18"/>
          <w:lang w:val="en-US"/>
        </w:rPr>
      </w:pPr>
    </w:p>
    <w:p w14:paraId="7C3AD80C" w14:textId="77777777" w:rsidR="00B65A2A" w:rsidRDefault="00BD22C9" w:rsidP="00455A56">
      <w:pPr>
        <w:pStyle w:val="Heading1"/>
        <w:spacing w:afterLines="0" w:after="0"/>
      </w:pPr>
      <w:r w:rsidRPr="00DF0585">
        <w:t>Prevention</w:t>
      </w:r>
    </w:p>
    <w:p w14:paraId="42DA2F38" w14:textId="787F37D2" w:rsidR="00EA1FB5" w:rsidRPr="00196CA7" w:rsidRDefault="00BD22C9" w:rsidP="00455A56">
      <w:pPr>
        <w:pStyle w:val="Heading1"/>
        <w:spacing w:afterLines="0" w:after="0"/>
      </w:pPr>
      <w:r w:rsidRPr="00DF0585">
        <w:rPr>
          <w:rStyle w:val="A8"/>
          <w:rFonts w:ascii="Cambria" w:hAnsi="Cambria" w:cstheme="minorHAnsi"/>
          <w:sz w:val="18"/>
          <w:szCs w:val="18"/>
          <w:lang w:val="en-US"/>
        </w:rPr>
        <w:t xml:space="preserve">Conduct further awareness raising initiatives on the sexual exploitation of children targeted at the wider public; and  establish a helpline with adequately staffed to respond to a variety of concerns of child victims of </w:t>
      </w:r>
      <w:r w:rsidR="00CB3EBF">
        <w:rPr>
          <w:rStyle w:val="A8"/>
          <w:rFonts w:ascii="Cambria" w:hAnsi="Cambria" w:cstheme="minorHAnsi"/>
          <w:sz w:val="18"/>
          <w:szCs w:val="18"/>
          <w:lang w:val="en-US"/>
        </w:rPr>
        <w:t xml:space="preserve">SEC </w:t>
      </w:r>
    </w:p>
    <w:p w14:paraId="4238FD91" w14:textId="77777777" w:rsidR="00455A56" w:rsidRDefault="00455A56" w:rsidP="00455A56">
      <w:pPr>
        <w:pStyle w:val="Heading1"/>
        <w:spacing w:afterLines="0" w:after="0"/>
      </w:pPr>
    </w:p>
    <w:p w14:paraId="7E44AB61" w14:textId="1CBE0E58" w:rsidR="00BD22C9" w:rsidRPr="00DF0585" w:rsidRDefault="00BD22C9" w:rsidP="001B7278">
      <w:pPr>
        <w:pStyle w:val="Heading1"/>
      </w:pPr>
      <w:proofErr w:type="gramStart"/>
      <w:r w:rsidRPr="00DF0585">
        <w:t>Protection of the rights of the child</w:t>
      </w:r>
      <w:r w:rsidR="00455A56">
        <w:t>.</w:t>
      </w:r>
      <w:proofErr w:type="gramEnd"/>
    </w:p>
    <w:p w14:paraId="2B6FB5EE" w14:textId="388217F4" w:rsidR="00BD22C9" w:rsidRPr="00DF0585" w:rsidRDefault="00E070DF" w:rsidP="00B65A2A">
      <w:pPr>
        <w:pStyle w:val="Standard"/>
        <w:shd w:val="clear" w:color="auto" w:fill="F2F2F2" w:themeFill="background1" w:themeFillShade="F2"/>
        <w:spacing w:before="86" w:line="276" w:lineRule="auto"/>
        <w:jc w:val="both"/>
        <w:rPr>
          <w:rFonts w:ascii="Cambria" w:hAnsi="Cambria" w:cstheme="minorHAnsi"/>
          <w:sz w:val="18"/>
          <w:szCs w:val="18"/>
          <w:lang w:val="en-US" w:bidi="th-TH"/>
        </w:rPr>
      </w:pPr>
      <w:r>
        <w:rPr>
          <w:rFonts w:ascii="Cambria" w:hAnsi="Cambria" w:cstheme="minorHAnsi"/>
          <w:sz w:val="18"/>
          <w:szCs w:val="18"/>
          <w:lang w:val="en-US" w:bidi="th-TH"/>
        </w:rPr>
        <w:t>-</w:t>
      </w:r>
      <w:r w:rsidR="00BD22C9" w:rsidRPr="00DF0585">
        <w:rPr>
          <w:rFonts w:ascii="Cambria" w:hAnsi="Cambria" w:cstheme="minorHAnsi"/>
          <w:sz w:val="18"/>
          <w:szCs w:val="18"/>
          <w:lang w:val="en-US" w:bidi="th-TH"/>
        </w:rPr>
        <w:t>Create a specific mechanism for monitoring children’s rights;</w:t>
      </w:r>
    </w:p>
    <w:p w14:paraId="77A33184" w14:textId="71DDB9CA" w:rsidR="00BD22C9" w:rsidRPr="00DF0585" w:rsidRDefault="00E070DF" w:rsidP="00B65A2A">
      <w:pPr>
        <w:pStyle w:val="Standard"/>
        <w:shd w:val="clear" w:color="auto" w:fill="F2F2F2" w:themeFill="background1" w:themeFillShade="F2"/>
        <w:spacing w:before="86" w:line="276" w:lineRule="auto"/>
        <w:jc w:val="both"/>
        <w:rPr>
          <w:rFonts w:ascii="Cambria" w:hAnsi="Cambria" w:cstheme="minorHAnsi"/>
          <w:sz w:val="18"/>
          <w:szCs w:val="18"/>
          <w:lang w:val="en-US" w:bidi="th-TH"/>
        </w:rPr>
      </w:pPr>
      <w:r>
        <w:rPr>
          <w:rFonts w:ascii="Cambria" w:hAnsi="Cambria"/>
          <w:bCs/>
          <w:iCs/>
          <w:sz w:val="18"/>
          <w:szCs w:val="18"/>
          <w:lang w:val="en-US"/>
        </w:rPr>
        <w:t>-</w:t>
      </w:r>
      <w:r w:rsidR="00BD22C9" w:rsidRPr="00DF0585">
        <w:rPr>
          <w:rFonts w:ascii="Cambria" w:hAnsi="Cambria"/>
          <w:bCs/>
          <w:iCs/>
          <w:sz w:val="18"/>
          <w:szCs w:val="18"/>
          <w:lang w:val="en-US"/>
        </w:rPr>
        <w:t>Ratify the third Optional Protocol to the Convention on the Rights of the Child on a communications procedure;</w:t>
      </w:r>
    </w:p>
    <w:p w14:paraId="4AAF8EC9" w14:textId="622D6587" w:rsidR="00BD22C9" w:rsidRPr="00DF0585" w:rsidRDefault="00E070DF" w:rsidP="00B65A2A">
      <w:pPr>
        <w:pStyle w:val="Standard"/>
        <w:shd w:val="clear" w:color="auto" w:fill="F2F2F2" w:themeFill="background1" w:themeFillShade="F2"/>
        <w:spacing w:before="86" w:line="276" w:lineRule="auto"/>
        <w:jc w:val="both"/>
        <w:rPr>
          <w:rFonts w:ascii="Cambria" w:hAnsi="Cambria" w:cstheme="minorHAnsi"/>
          <w:sz w:val="18"/>
          <w:szCs w:val="18"/>
          <w:lang w:val="en-US" w:bidi="th-TH"/>
        </w:rPr>
      </w:pPr>
      <w:r>
        <w:rPr>
          <w:rFonts w:ascii="Cambria" w:hAnsi="Cambria"/>
          <w:bCs/>
          <w:sz w:val="18"/>
          <w:szCs w:val="18"/>
          <w:lang w:val="en-US"/>
        </w:rPr>
        <w:t>-</w:t>
      </w:r>
      <w:r w:rsidR="00BD22C9" w:rsidRPr="00DF0585">
        <w:rPr>
          <w:rFonts w:ascii="Cambria" w:hAnsi="Cambria"/>
          <w:bCs/>
          <w:sz w:val="18"/>
          <w:szCs w:val="18"/>
          <w:lang w:val="en-US"/>
        </w:rPr>
        <w:t xml:space="preserve">Improve national victim identification procedures to clearly identify child victims of </w:t>
      </w:r>
      <w:r w:rsidR="00CB3EBF">
        <w:rPr>
          <w:rFonts w:ascii="Cambria" w:hAnsi="Cambria"/>
          <w:bCs/>
          <w:sz w:val="18"/>
          <w:szCs w:val="18"/>
          <w:lang w:val="en-US"/>
        </w:rPr>
        <w:t>SEC</w:t>
      </w:r>
      <w:r w:rsidR="00BD22C9" w:rsidRPr="00DF0585">
        <w:rPr>
          <w:rFonts w:ascii="Cambria" w:hAnsi="Cambria"/>
          <w:bCs/>
          <w:sz w:val="18"/>
          <w:szCs w:val="18"/>
          <w:lang w:val="en-US"/>
        </w:rPr>
        <w:t>;</w:t>
      </w:r>
    </w:p>
    <w:p w14:paraId="4C059C58" w14:textId="029CE2A9" w:rsidR="00BD22C9" w:rsidRPr="00DF0585" w:rsidRDefault="00E070DF" w:rsidP="00B65A2A">
      <w:pPr>
        <w:pStyle w:val="Standard"/>
        <w:shd w:val="clear" w:color="auto" w:fill="F2F2F2" w:themeFill="background1" w:themeFillShade="F2"/>
        <w:spacing w:before="86" w:line="276" w:lineRule="auto"/>
        <w:jc w:val="both"/>
        <w:rPr>
          <w:rFonts w:ascii="Cambria" w:hAnsi="Cambria" w:cstheme="minorHAnsi"/>
          <w:sz w:val="18"/>
          <w:szCs w:val="18"/>
          <w:lang w:val="en-US" w:bidi="th-TH"/>
        </w:rPr>
      </w:pPr>
      <w:r>
        <w:rPr>
          <w:rFonts w:ascii="Cambria" w:hAnsi="Cambria"/>
          <w:bCs/>
          <w:sz w:val="18"/>
          <w:szCs w:val="18"/>
          <w:lang w:val="en-US"/>
        </w:rPr>
        <w:t>-</w:t>
      </w:r>
      <w:r w:rsidR="00BD22C9" w:rsidRPr="00DF0585">
        <w:rPr>
          <w:rFonts w:ascii="Cambria" w:hAnsi="Cambria"/>
          <w:bCs/>
          <w:sz w:val="18"/>
          <w:szCs w:val="18"/>
          <w:lang w:val="en-US"/>
        </w:rPr>
        <w:t xml:space="preserve">Develop concrete mechanisms to render recover, reintegration and rehabilitation of child victims of </w:t>
      </w:r>
      <w:r w:rsidR="00CB3EBF">
        <w:rPr>
          <w:rFonts w:ascii="Cambria" w:hAnsi="Cambria"/>
          <w:bCs/>
          <w:sz w:val="18"/>
          <w:szCs w:val="18"/>
          <w:lang w:val="en-US"/>
        </w:rPr>
        <w:t>SEC;</w:t>
      </w:r>
    </w:p>
    <w:p w14:paraId="0E4BC852" w14:textId="57B00F1C" w:rsidR="00BD22C9" w:rsidRPr="00DF0585" w:rsidRDefault="00E070DF" w:rsidP="00B65A2A">
      <w:pPr>
        <w:pStyle w:val="Standard"/>
        <w:shd w:val="clear" w:color="auto" w:fill="F2F2F2" w:themeFill="background1" w:themeFillShade="F2"/>
        <w:spacing w:before="86" w:line="276" w:lineRule="auto"/>
        <w:jc w:val="both"/>
        <w:rPr>
          <w:rFonts w:ascii="Cambria" w:hAnsi="Cambria" w:cstheme="minorHAnsi"/>
          <w:sz w:val="18"/>
          <w:szCs w:val="18"/>
          <w:lang w:val="en-US" w:bidi="th-TH"/>
        </w:rPr>
      </w:pPr>
      <w:r>
        <w:rPr>
          <w:rFonts w:ascii="Cambria" w:hAnsi="Cambria"/>
          <w:bCs/>
          <w:sz w:val="18"/>
          <w:szCs w:val="18"/>
          <w:lang w:val="en-US"/>
        </w:rPr>
        <w:t>-</w:t>
      </w:r>
      <w:r w:rsidR="00BD22C9" w:rsidRPr="00DF0585">
        <w:rPr>
          <w:rFonts w:ascii="Cambria" w:hAnsi="Cambria"/>
          <w:bCs/>
          <w:sz w:val="18"/>
          <w:szCs w:val="18"/>
          <w:lang w:val="en-US"/>
        </w:rPr>
        <w:t xml:space="preserve">Improve victim-sensitive justice by taking measures to facilitate in-camera proceedings and maintaining anonymity of child victims in cases </w:t>
      </w:r>
      <w:r w:rsidR="00CB3EBF">
        <w:rPr>
          <w:rFonts w:ascii="Cambria" w:hAnsi="Cambria"/>
          <w:bCs/>
          <w:sz w:val="18"/>
          <w:szCs w:val="18"/>
          <w:lang w:val="en-US"/>
        </w:rPr>
        <w:t>SEC</w:t>
      </w:r>
      <w:r w:rsidR="00BD22C9" w:rsidRPr="00DF0585">
        <w:rPr>
          <w:rFonts w:ascii="Cambria" w:hAnsi="Cambria"/>
          <w:bCs/>
          <w:sz w:val="18"/>
          <w:szCs w:val="18"/>
          <w:lang w:val="en-US"/>
        </w:rPr>
        <w:t xml:space="preserve">; </w:t>
      </w:r>
    </w:p>
    <w:p w14:paraId="0C5097EE" w14:textId="18409B57" w:rsidR="00BD22C9" w:rsidRPr="00DF0585" w:rsidRDefault="00E070DF" w:rsidP="00B65A2A">
      <w:pPr>
        <w:pStyle w:val="Standard"/>
        <w:shd w:val="clear" w:color="auto" w:fill="F2F2F2" w:themeFill="background1" w:themeFillShade="F2"/>
        <w:spacing w:before="86" w:line="276" w:lineRule="auto"/>
        <w:jc w:val="both"/>
        <w:rPr>
          <w:rFonts w:ascii="Cambria" w:hAnsi="Cambria" w:cstheme="minorHAnsi"/>
          <w:sz w:val="18"/>
          <w:szCs w:val="18"/>
          <w:lang w:val="en-US" w:bidi="th-TH"/>
        </w:rPr>
      </w:pPr>
      <w:r>
        <w:rPr>
          <w:rFonts w:ascii="Cambria" w:hAnsi="Cambria" w:cstheme="minorHAnsi"/>
          <w:sz w:val="18"/>
          <w:szCs w:val="18"/>
          <w:lang w:val="en-US" w:bidi="th-TH"/>
        </w:rPr>
        <w:t>-</w:t>
      </w:r>
      <w:r w:rsidR="00BD22C9" w:rsidRPr="00DF0585">
        <w:rPr>
          <w:rFonts w:ascii="Cambria" w:hAnsi="Cambria" w:cstheme="minorHAnsi"/>
          <w:sz w:val="18"/>
          <w:szCs w:val="18"/>
          <w:lang w:val="en-US" w:bidi="th-TH"/>
        </w:rPr>
        <w:t xml:space="preserve">Establish sufficient number of shelters for child victims of </w:t>
      </w:r>
      <w:proofErr w:type="gramStart"/>
      <w:r w:rsidR="00CB3EBF">
        <w:rPr>
          <w:rFonts w:ascii="Cambria" w:hAnsi="Cambria" w:cstheme="minorHAnsi"/>
          <w:sz w:val="18"/>
          <w:szCs w:val="18"/>
          <w:lang w:val="en-US" w:bidi="th-TH"/>
        </w:rPr>
        <w:t xml:space="preserve">SEC </w:t>
      </w:r>
      <w:r w:rsidR="00BD22C9" w:rsidRPr="00DF0585">
        <w:rPr>
          <w:rFonts w:ascii="Cambria" w:hAnsi="Cambria" w:cstheme="minorHAnsi"/>
          <w:sz w:val="18"/>
          <w:szCs w:val="18"/>
          <w:lang w:val="en-US" w:bidi="th-TH"/>
        </w:rPr>
        <w:t>.</w:t>
      </w:r>
      <w:proofErr w:type="gramEnd"/>
      <w:r w:rsidR="00BD22C9" w:rsidRPr="00DF0585">
        <w:rPr>
          <w:rFonts w:ascii="Cambria" w:hAnsi="Cambria" w:cstheme="minorHAnsi"/>
          <w:sz w:val="18"/>
          <w:szCs w:val="18"/>
          <w:lang w:val="en-US" w:bidi="th-TH"/>
        </w:rPr>
        <w:t xml:space="preserve"> Ensure that their address is secret and that they are protected 24/7 by law enforcement officials;</w:t>
      </w:r>
    </w:p>
    <w:p w14:paraId="5E4CC1FE" w14:textId="0BD719C3" w:rsidR="00196CA7" w:rsidRPr="00DF0585" w:rsidRDefault="00E070DF" w:rsidP="00B65A2A">
      <w:pPr>
        <w:pStyle w:val="Standard1"/>
        <w:shd w:val="clear" w:color="auto" w:fill="F2F2F2" w:themeFill="background1" w:themeFillShade="F2"/>
        <w:spacing w:before="86" w:line="276" w:lineRule="auto"/>
        <w:jc w:val="both"/>
        <w:rPr>
          <w:rFonts w:ascii="Cambria" w:hAnsi="Cambria" w:cstheme="minorHAnsi"/>
          <w:sz w:val="18"/>
          <w:szCs w:val="18"/>
          <w:lang w:val="en-US" w:bidi="th-TH"/>
        </w:rPr>
      </w:pPr>
      <w:r>
        <w:rPr>
          <w:rFonts w:ascii="Cambria" w:hAnsi="Cambria" w:cstheme="minorHAnsi"/>
          <w:sz w:val="18"/>
          <w:szCs w:val="18"/>
          <w:lang w:val="en-US" w:bidi="th-TH"/>
        </w:rPr>
        <w:t>-</w:t>
      </w:r>
      <w:r w:rsidR="00BD22C9" w:rsidRPr="00DF0585">
        <w:rPr>
          <w:rFonts w:ascii="Cambria" w:hAnsi="Cambria" w:cstheme="minorHAnsi"/>
          <w:sz w:val="18"/>
          <w:szCs w:val="18"/>
          <w:lang w:val="en-US" w:bidi="th-TH"/>
        </w:rPr>
        <w:t xml:space="preserve">Ensure that child victims of </w:t>
      </w:r>
      <w:r w:rsidR="00CB3EBF">
        <w:rPr>
          <w:rFonts w:ascii="Cambria" w:hAnsi="Cambria" w:cstheme="minorHAnsi"/>
          <w:sz w:val="18"/>
          <w:szCs w:val="18"/>
          <w:lang w:val="en-US" w:bidi="th-TH"/>
        </w:rPr>
        <w:t xml:space="preserve">SEC </w:t>
      </w:r>
      <w:r w:rsidR="00BD22C9" w:rsidRPr="00DF0585">
        <w:rPr>
          <w:rFonts w:ascii="Cambria" w:hAnsi="Cambria" w:cstheme="minorHAnsi"/>
          <w:sz w:val="18"/>
          <w:szCs w:val="18"/>
          <w:lang w:val="en-US" w:bidi="th-TH"/>
        </w:rPr>
        <w:t>have access to free of charge legal aid,</w:t>
      </w:r>
      <w:r w:rsidR="00196CA7">
        <w:rPr>
          <w:rFonts w:ascii="Cambria" w:hAnsi="Cambria" w:cstheme="minorHAnsi"/>
          <w:sz w:val="18"/>
          <w:szCs w:val="18"/>
          <w:lang w:val="en-US" w:bidi="th-TH"/>
        </w:rPr>
        <w:t xml:space="preserve"> medical and psychological care.</w:t>
      </w:r>
    </w:p>
    <w:p w14:paraId="06FBA1E2" w14:textId="77777777" w:rsidR="00EA1FB5" w:rsidRDefault="00BD22C9" w:rsidP="00B41380">
      <w:pPr>
        <w:pStyle w:val="Heading1"/>
        <w:spacing w:afterLines="100" w:after="240"/>
      </w:pPr>
      <w:r w:rsidRPr="00DF0585">
        <w:tab/>
      </w:r>
    </w:p>
    <w:p w14:paraId="30D9D1D6" w14:textId="62A46C64" w:rsidR="00BD22C9" w:rsidRPr="00DF0585" w:rsidRDefault="00BD22C9" w:rsidP="001B7278">
      <w:pPr>
        <w:pStyle w:val="Heading1"/>
      </w:pPr>
      <w:r w:rsidRPr="00DF0585">
        <w:t xml:space="preserve">Thanks </w:t>
      </w:r>
      <w:r w:rsidR="00254F28">
        <w:t>y</w:t>
      </w:r>
      <w:r w:rsidR="00E331BC">
        <w:t xml:space="preserve">ou </w:t>
      </w:r>
      <w:r w:rsidRPr="00DF0585">
        <w:t xml:space="preserve"> for your attention.</w:t>
      </w:r>
    </w:p>
    <w:p w14:paraId="2F53D7AF" w14:textId="21366FEF" w:rsidR="00BD22C9" w:rsidRPr="00DF0585" w:rsidRDefault="00196CA7" w:rsidP="00196CA7">
      <w:pPr>
        <w:pStyle w:val="NoSpacing"/>
        <w:tabs>
          <w:tab w:val="left" w:pos="967"/>
        </w:tabs>
        <w:rPr>
          <w:rFonts w:ascii="Cambria" w:hAnsi="Cambria" w:cstheme="minorHAnsi"/>
          <w:sz w:val="18"/>
          <w:szCs w:val="18"/>
          <w:lang w:val="en-US"/>
        </w:rPr>
      </w:pPr>
      <w:r>
        <w:rPr>
          <w:rFonts w:ascii="Cambria" w:hAnsi="Cambria" w:cstheme="minorHAnsi"/>
          <w:sz w:val="18"/>
          <w:szCs w:val="18"/>
          <w:lang w:val="en-US"/>
        </w:rPr>
        <w:tab/>
      </w:r>
    </w:p>
    <w:p w14:paraId="3E861F5A" w14:textId="77777777" w:rsidR="00BD22C9" w:rsidRPr="00BD22C9" w:rsidRDefault="00BD22C9" w:rsidP="00B41380">
      <w:pPr>
        <w:pStyle w:val="NoSpacing"/>
        <w:spacing w:after="100" w:afterAutospacing="1"/>
        <w:rPr>
          <w:rFonts w:cstheme="minorHAnsi"/>
          <w:sz w:val="24"/>
          <w:szCs w:val="24"/>
          <w:highlight w:val="yellow"/>
          <w:lang w:val="en-US"/>
        </w:rPr>
      </w:pPr>
      <w:bookmarkStart w:id="4" w:name="_GoBack"/>
      <w:bookmarkEnd w:id="4"/>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ngsana New">
    <w:panose1 w:val="02020603050405020304"/>
    <w:charset w:val="DE"/>
    <w:family w:val="roman"/>
    <w:notTrueType/>
    <w:pitch w:val="variable"/>
    <w:sig w:usb0="01000001" w:usb1="00000000" w:usb2="00000000" w:usb3="00000000" w:csb0="00010000"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OpenSymbol">
    <w:altName w:val="Cambria"/>
    <w:charset w:val="00"/>
    <w:family w:val="auto"/>
    <w:pitch w:val="variable"/>
    <w:sig w:usb0="800000AF" w:usb1="1001ECEA"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rdia New">
    <w:panose1 w:val="020B0304020202020204"/>
    <w:charset w:val="DE"/>
    <w:family w:val="roman"/>
    <w:notTrueType/>
    <w:pitch w:val="variable"/>
    <w:sig w:usb0="01000001" w:usb1="00000000" w:usb2="00000000" w:usb3="00000000" w:csb0="0001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347682919"/>
      <w:docPartObj>
        <w:docPartGallery w:val="Page Numbers (Bottom of Page)"/>
        <w:docPartUnique/>
      </w:docPartObj>
    </w:sdtPr>
    <w:sdtEndPr>
      <w:rPr>
        <w:rStyle w:val="PageNumber"/>
      </w:rPr>
    </w:sdtEndPr>
    <w:sdtContent>
      <w:p w14:paraId="76B23034" w14:textId="157CCBE3" w:rsidR="00DF0585" w:rsidRDefault="00DF0585" w:rsidP="00CD447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7D6CE39" w14:textId="77777777" w:rsidR="00DF0585" w:rsidRDefault="00DF05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365915543"/>
      <w:docPartObj>
        <w:docPartGallery w:val="Page Numbers (Bottom of Page)"/>
        <w:docPartUnique/>
      </w:docPartObj>
    </w:sdtPr>
    <w:sdtEndPr>
      <w:rPr>
        <w:rStyle w:val="PageNumber"/>
      </w:rPr>
    </w:sdtEndPr>
    <w:sdtContent>
      <w:p w14:paraId="0D0D196A" w14:textId="721F2C9F" w:rsidR="00DF0585" w:rsidRDefault="00DF0585" w:rsidP="00CD447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B41380">
          <w:rPr>
            <w:rStyle w:val="PageNumber"/>
            <w:noProof/>
          </w:rPr>
          <w:t>1</w:t>
        </w:r>
        <w:r>
          <w:rPr>
            <w:rStyle w:val="PageNumber"/>
          </w:rPr>
          <w:fldChar w:fldCharType="end"/>
        </w:r>
      </w:p>
    </w:sdtContent>
  </w:sdt>
  <w:p w14:paraId="657EF73A" w14:textId="77777777" w:rsidR="00196CA7" w:rsidRPr="00844EA7" w:rsidRDefault="00196CA7" w:rsidP="00196CA7">
    <w:pPr>
      <w:pStyle w:val="Footer"/>
      <w:jc w:val="center"/>
      <w:rPr>
        <w:color w:val="FF0000"/>
      </w:rPr>
    </w:pPr>
    <w:r w:rsidRPr="00844EA7">
      <w:rPr>
        <w:color w:val="FF0000"/>
      </w:rPr>
      <w:t>Website</w:t>
    </w:r>
    <w:proofErr w:type="gramStart"/>
    <w:r w:rsidRPr="00844EA7">
      <w:rPr>
        <w:color w:val="FF0000"/>
      </w:rPr>
      <w:t>:</w:t>
    </w:r>
    <w:r>
      <w:rPr>
        <w:color w:val="FF0000"/>
      </w:rPr>
      <w:t>www.wola</w:t>
    </w:r>
    <w:proofErr w:type="gramEnd"/>
    <w:r>
      <w:rPr>
        <w:color w:val="FF0000"/>
      </w:rPr>
      <w:t>-ngo.org</w:t>
    </w:r>
    <w:r w:rsidRPr="00844EA7">
      <w:rPr>
        <w:color w:val="FF0000"/>
      </w:rPr>
      <w:t xml:space="preserve"> / </w:t>
    </w:r>
    <w:proofErr w:type="spellStart"/>
    <w:r w:rsidRPr="00844EA7">
      <w:rPr>
        <w:color w:val="FF0000"/>
      </w:rPr>
      <w:t>facebo</w:t>
    </w:r>
    <w:r>
      <w:rPr>
        <w:color w:val="FF0000"/>
      </w:rPr>
      <w:t>ok:women</w:t>
    </w:r>
    <w:proofErr w:type="spellEnd"/>
    <w:r>
      <w:rPr>
        <w:color w:val="FF0000"/>
      </w:rPr>
      <w:t xml:space="preserve"> legal assistance organization</w:t>
    </w:r>
  </w:p>
  <w:p w14:paraId="52DF5F02" w14:textId="77777777" w:rsidR="00196CA7" w:rsidRDefault="00196CA7" w:rsidP="00196CA7">
    <w:pPr>
      <w:pStyle w:val="Footer"/>
      <w:jc w:val="center"/>
    </w:pPr>
    <w:proofErr w:type="gramStart"/>
    <w:r>
      <w:rPr>
        <w:color w:val="FF0000"/>
      </w:rPr>
      <w:t>E-mail:wola_org@yahoo.com ,shokhanlawer@yahoo.com</w:t>
    </w:r>
    <w:proofErr w:type="gramEnd"/>
  </w:p>
  <w:p w14:paraId="19C74775" w14:textId="77777777" w:rsidR="00DF0585" w:rsidRDefault="00DF05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A35E1E" w14:textId="77777777" w:rsidR="000C6672" w:rsidRDefault="000C6672" w:rsidP="00D47F9C">
      <w:pPr>
        <w:spacing w:after="0" w:line="240" w:lineRule="auto"/>
      </w:pPr>
      <w:r>
        <w:separator/>
      </w:r>
    </w:p>
  </w:footnote>
  <w:footnote w:type="continuationSeparator" w:id="0">
    <w:p w14:paraId="4861711D" w14:textId="77777777" w:rsidR="000C6672" w:rsidRDefault="000C6672" w:rsidP="00D47F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1EA83D" w14:textId="05FFF933" w:rsidR="00196CA7" w:rsidRDefault="00184289">
    <w:pPr>
      <w:pStyle w:val="Header"/>
    </w:pPr>
    <w:r w:rsidRPr="00BA08BA">
      <w:rPr>
        <w:rFonts w:ascii="Cambria" w:hAnsi="Cambria"/>
        <w:noProof/>
        <w:sz w:val="21"/>
        <w:szCs w:val="21"/>
        <w:lang w:val="en-US"/>
      </w:rPr>
      <w:drawing>
        <wp:anchor distT="0" distB="0" distL="114300" distR="114300" simplePos="0" relativeHeight="251663360" behindDoc="0" locked="0" layoutInCell="1" allowOverlap="1" wp14:anchorId="4CC40BB6" wp14:editId="6F196584">
          <wp:simplePos x="0" y="0"/>
          <wp:positionH relativeFrom="column">
            <wp:posOffset>5493224</wp:posOffset>
          </wp:positionH>
          <wp:positionV relativeFrom="paragraph">
            <wp:posOffset>-326750</wp:posOffset>
          </wp:positionV>
          <wp:extent cx="811781" cy="832513"/>
          <wp:effectExtent l="0" t="0" r="7620" b="5715"/>
          <wp:wrapNone/>
          <wp:docPr id="7" name="image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815411" cy="836236"/>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sidRPr="00BA08BA">
      <w:rPr>
        <w:rFonts w:ascii="Cambria" w:eastAsia="Times New Roman" w:hAnsi="Cambria"/>
        <w:i/>
        <w:noProof/>
        <w:sz w:val="21"/>
        <w:szCs w:val="21"/>
        <w:lang w:val="en-US"/>
      </w:rPr>
      <w:drawing>
        <wp:anchor distT="0" distB="0" distL="114300" distR="114300" simplePos="0" relativeHeight="251659264" behindDoc="0" locked="0" layoutInCell="1" allowOverlap="1" wp14:anchorId="5E137137" wp14:editId="2EB2D877">
          <wp:simplePos x="0" y="0"/>
          <wp:positionH relativeFrom="column">
            <wp:posOffset>-320675</wp:posOffset>
          </wp:positionH>
          <wp:positionV relativeFrom="paragraph">
            <wp:posOffset>-394970</wp:posOffset>
          </wp:positionV>
          <wp:extent cx="1002665" cy="962025"/>
          <wp:effectExtent l="0" t="0" r="6985" b="9525"/>
          <wp:wrapNone/>
          <wp:docPr id="2" name="Picture 2" descr="C:\Users\rima\Desktop\Rima\UPR\UPR Iraq\download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ima\Desktop\Rima\UPR\UPR Iraq\download (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02665" cy="962025"/>
                  </a:xfrm>
                  <a:prstGeom prst="rect">
                    <a:avLst/>
                  </a:prstGeom>
                  <a:noFill/>
                  <a:ln>
                    <a:noFill/>
                  </a:ln>
                </pic:spPr>
              </pic:pic>
            </a:graphicData>
          </a:graphic>
          <wp14:sizeRelV relativeFrom="margin">
            <wp14:pctHeight>0</wp14:pctHeight>
          </wp14:sizeRelV>
        </wp:anchor>
      </w:drawing>
    </w:r>
    <w:r w:rsidRPr="00BA08BA">
      <w:rPr>
        <w:rFonts w:ascii="Cambria" w:hAnsi="Cambria"/>
        <w:noProof/>
        <w:sz w:val="21"/>
        <w:szCs w:val="21"/>
        <w:lang w:val="en-US"/>
      </w:rPr>
      <w:drawing>
        <wp:anchor distT="0" distB="0" distL="114300" distR="114300" simplePos="0" relativeHeight="251661312" behindDoc="0" locked="0" layoutInCell="1" allowOverlap="1" wp14:anchorId="5C6D89BB" wp14:editId="4807E042">
          <wp:simplePos x="0" y="0"/>
          <wp:positionH relativeFrom="column">
            <wp:posOffset>2531110</wp:posOffset>
          </wp:positionH>
          <wp:positionV relativeFrom="paragraph">
            <wp:posOffset>-177307</wp:posOffset>
          </wp:positionV>
          <wp:extent cx="1036955" cy="681990"/>
          <wp:effectExtent l="0" t="0" r="0" b="3810"/>
          <wp:wrapNone/>
          <wp:docPr id="6" name="Picture 6" descr="C:\Users\rima\Desktop\Rima\UPR\UPR Iraq\wo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ma\Desktop\Rima\UPR\UPR Iraq\wola.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036955" cy="68199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D440F"/>
    <w:multiLevelType w:val="hybridMultilevel"/>
    <w:tmpl w:val="70C48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3C36C1"/>
    <w:multiLevelType w:val="hybridMultilevel"/>
    <w:tmpl w:val="B3764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DE36F0"/>
    <w:multiLevelType w:val="hybridMultilevel"/>
    <w:tmpl w:val="C18CC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C97180"/>
    <w:multiLevelType w:val="hybridMultilevel"/>
    <w:tmpl w:val="B87CF186"/>
    <w:lvl w:ilvl="0" w:tplc="9264816E">
      <w:start w:val="1"/>
      <w:numFmt w:val="decimal"/>
      <w:lvlText w:val="%1."/>
      <w:lvlJc w:val="left"/>
      <w:pPr>
        <w:ind w:left="720" w:hanging="360"/>
      </w:pPr>
      <w:rPr>
        <w:b w:val="0"/>
        <w:color w:val="auto"/>
      </w:rPr>
    </w:lvl>
    <w:lvl w:ilvl="1" w:tplc="B7CCB982">
      <w:numFmt w:val="bullet"/>
      <w:lvlText w:val="-"/>
      <w:lvlJc w:val="left"/>
      <w:pPr>
        <w:ind w:left="1440" w:hanging="360"/>
      </w:pPr>
      <w:rPr>
        <w:rFonts w:ascii="Angsana New" w:eastAsiaTheme="minorHAnsi" w:hAnsi="Angsana New" w:cs="Angsana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B210FB"/>
    <w:multiLevelType w:val="hybridMultilevel"/>
    <w:tmpl w:val="5520FF7A"/>
    <w:lvl w:ilvl="0" w:tplc="A1781D84">
      <w:start w:val="1"/>
      <w:numFmt w:val="bullet"/>
      <w:lvlText w:val=""/>
      <w:lvlJc w:val="left"/>
      <w:pPr>
        <w:tabs>
          <w:tab w:val="num" w:pos="720"/>
        </w:tabs>
        <w:ind w:left="720" w:hanging="360"/>
      </w:pPr>
      <w:rPr>
        <w:rFonts w:ascii="Wingdings 2" w:hAnsi="Wingdings 2" w:hint="default"/>
      </w:rPr>
    </w:lvl>
    <w:lvl w:ilvl="1" w:tplc="B1C69B10" w:tentative="1">
      <w:start w:val="1"/>
      <w:numFmt w:val="bullet"/>
      <w:lvlText w:val=""/>
      <w:lvlJc w:val="left"/>
      <w:pPr>
        <w:tabs>
          <w:tab w:val="num" w:pos="1440"/>
        </w:tabs>
        <w:ind w:left="1440" w:hanging="360"/>
      </w:pPr>
      <w:rPr>
        <w:rFonts w:ascii="Wingdings 2" w:hAnsi="Wingdings 2" w:hint="default"/>
      </w:rPr>
    </w:lvl>
    <w:lvl w:ilvl="2" w:tplc="3CA26C56" w:tentative="1">
      <w:start w:val="1"/>
      <w:numFmt w:val="bullet"/>
      <w:lvlText w:val=""/>
      <w:lvlJc w:val="left"/>
      <w:pPr>
        <w:tabs>
          <w:tab w:val="num" w:pos="2160"/>
        </w:tabs>
        <w:ind w:left="2160" w:hanging="360"/>
      </w:pPr>
      <w:rPr>
        <w:rFonts w:ascii="Wingdings 2" w:hAnsi="Wingdings 2" w:hint="default"/>
      </w:rPr>
    </w:lvl>
    <w:lvl w:ilvl="3" w:tplc="B79A07C4" w:tentative="1">
      <w:start w:val="1"/>
      <w:numFmt w:val="bullet"/>
      <w:lvlText w:val=""/>
      <w:lvlJc w:val="left"/>
      <w:pPr>
        <w:tabs>
          <w:tab w:val="num" w:pos="2880"/>
        </w:tabs>
        <w:ind w:left="2880" w:hanging="360"/>
      </w:pPr>
      <w:rPr>
        <w:rFonts w:ascii="Wingdings 2" w:hAnsi="Wingdings 2" w:hint="default"/>
      </w:rPr>
    </w:lvl>
    <w:lvl w:ilvl="4" w:tplc="3E84DED2" w:tentative="1">
      <w:start w:val="1"/>
      <w:numFmt w:val="bullet"/>
      <w:lvlText w:val=""/>
      <w:lvlJc w:val="left"/>
      <w:pPr>
        <w:tabs>
          <w:tab w:val="num" w:pos="3600"/>
        </w:tabs>
        <w:ind w:left="3600" w:hanging="360"/>
      </w:pPr>
      <w:rPr>
        <w:rFonts w:ascii="Wingdings 2" w:hAnsi="Wingdings 2" w:hint="default"/>
      </w:rPr>
    </w:lvl>
    <w:lvl w:ilvl="5" w:tplc="A2CC00FE" w:tentative="1">
      <w:start w:val="1"/>
      <w:numFmt w:val="bullet"/>
      <w:lvlText w:val=""/>
      <w:lvlJc w:val="left"/>
      <w:pPr>
        <w:tabs>
          <w:tab w:val="num" w:pos="4320"/>
        </w:tabs>
        <w:ind w:left="4320" w:hanging="360"/>
      </w:pPr>
      <w:rPr>
        <w:rFonts w:ascii="Wingdings 2" w:hAnsi="Wingdings 2" w:hint="default"/>
      </w:rPr>
    </w:lvl>
    <w:lvl w:ilvl="6" w:tplc="47B4121A" w:tentative="1">
      <w:start w:val="1"/>
      <w:numFmt w:val="bullet"/>
      <w:lvlText w:val=""/>
      <w:lvlJc w:val="left"/>
      <w:pPr>
        <w:tabs>
          <w:tab w:val="num" w:pos="5040"/>
        </w:tabs>
        <w:ind w:left="5040" w:hanging="360"/>
      </w:pPr>
      <w:rPr>
        <w:rFonts w:ascii="Wingdings 2" w:hAnsi="Wingdings 2" w:hint="default"/>
      </w:rPr>
    </w:lvl>
    <w:lvl w:ilvl="7" w:tplc="E1F4FDCA" w:tentative="1">
      <w:start w:val="1"/>
      <w:numFmt w:val="bullet"/>
      <w:lvlText w:val=""/>
      <w:lvlJc w:val="left"/>
      <w:pPr>
        <w:tabs>
          <w:tab w:val="num" w:pos="5760"/>
        </w:tabs>
        <w:ind w:left="5760" w:hanging="360"/>
      </w:pPr>
      <w:rPr>
        <w:rFonts w:ascii="Wingdings 2" w:hAnsi="Wingdings 2" w:hint="default"/>
      </w:rPr>
    </w:lvl>
    <w:lvl w:ilvl="8" w:tplc="E3C0D7A6" w:tentative="1">
      <w:start w:val="1"/>
      <w:numFmt w:val="bullet"/>
      <w:lvlText w:val=""/>
      <w:lvlJc w:val="left"/>
      <w:pPr>
        <w:tabs>
          <w:tab w:val="num" w:pos="6480"/>
        </w:tabs>
        <w:ind w:left="6480" w:hanging="360"/>
      </w:pPr>
      <w:rPr>
        <w:rFonts w:ascii="Wingdings 2" w:hAnsi="Wingdings 2" w:hint="default"/>
      </w:rPr>
    </w:lvl>
  </w:abstractNum>
  <w:abstractNum w:abstractNumId="5">
    <w:nsid w:val="50D07C45"/>
    <w:multiLevelType w:val="multilevel"/>
    <w:tmpl w:val="2D6CE1D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hint="default"/>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
    <w:nsid w:val="518A66AA"/>
    <w:multiLevelType w:val="hybridMultilevel"/>
    <w:tmpl w:val="B87CF186"/>
    <w:lvl w:ilvl="0" w:tplc="9264816E">
      <w:start w:val="1"/>
      <w:numFmt w:val="decimal"/>
      <w:lvlText w:val="%1."/>
      <w:lvlJc w:val="left"/>
      <w:pPr>
        <w:ind w:left="720" w:hanging="360"/>
      </w:pPr>
      <w:rPr>
        <w:b w:val="0"/>
        <w:color w:val="auto"/>
      </w:rPr>
    </w:lvl>
    <w:lvl w:ilvl="1" w:tplc="B7CCB982">
      <w:numFmt w:val="bullet"/>
      <w:lvlText w:val="-"/>
      <w:lvlJc w:val="left"/>
      <w:pPr>
        <w:ind w:left="1440" w:hanging="360"/>
      </w:pPr>
      <w:rPr>
        <w:rFonts w:ascii="Angsana New" w:eastAsiaTheme="minorHAnsi" w:hAnsi="Angsana New" w:cs="Angsana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DE15270"/>
    <w:multiLevelType w:val="hybridMultilevel"/>
    <w:tmpl w:val="C0249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6"/>
  </w:num>
  <w:num w:numId="4">
    <w:abstractNumId w:val="7"/>
  </w:num>
  <w:num w:numId="5">
    <w:abstractNumId w:val="0"/>
  </w:num>
  <w:num w:numId="6">
    <w:abstractNumId w:val="1"/>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fr-FR"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en-US" w:vendorID="64" w:dllVersion="131078" w:nlCheck="1" w:checkStyle="1"/>
  <w:activeWritingStyle w:appName="MSWord" w:lang="en-GB" w:vendorID="64" w:dllVersion="131078" w:nlCheck="1" w:checkStyle="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F9C"/>
    <w:rsid w:val="00036067"/>
    <w:rsid w:val="000C6672"/>
    <w:rsid w:val="00147830"/>
    <w:rsid w:val="00184289"/>
    <w:rsid w:val="00196CA7"/>
    <w:rsid w:val="001B7278"/>
    <w:rsid w:val="001C0E7E"/>
    <w:rsid w:val="00254F28"/>
    <w:rsid w:val="00287632"/>
    <w:rsid w:val="00455A56"/>
    <w:rsid w:val="00456DC2"/>
    <w:rsid w:val="00693B31"/>
    <w:rsid w:val="007B2CFE"/>
    <w:rsid w:val="00812E77"/>
    <w:rsid w:val="00830C64"/>
    <w:rsid w:val="00880C9A"/>
    <w:rsid w:val="00925555"/>
    <w:rsid w:val="00936BF3"/>
    <w:rsid w:val="00974924"/>
    <w:rsid w:val="00980BC7"/>
    <w:rsid w:val="009B5A69"/>
    <w:rsid w:val="009E3C3C"/>
    <w:rsid w:val="009F69AD"/>
    <w:rsid w:val="00AE35B9"/>
    <w:rsid w:val="00B41380"/>
    <w:rsid w:val="00B65A2A"/>
    <w:rsid w:val="00BA08BA"/>
    <w:rsid w:val="00BD22C9"/>
    <w:rsid w:val="00C61930"/>
    <w:rsid w:val="00C62A3A"/>
    <w:rsid w:val="00CB3EBF"/>
    <w:rsid w:val="00D267A3"/>
    <w:rsid w:val="00D26F64"/>
    <w:rsid w:val="00D47F9C"/>
    <w:rsid w:val="00D9394F"/>
    <w:rsid w:val="00DF0585"/>
    <w:rsid w:val="00E070DF"/>
    <w:rsid w:val="00E331BC"/>
    <w:rsid w:val="00E423D2"/>
    <w:rsid w:val="00E93D73"/>
    <w:rsid w:val="00EA1FB5"/>
    <w:rsid w:val="00EA3B9D"/>
    <w:rsid w:val="00EE0817"/>
  </w:rsids>
  <m:mathPr>
    <m:mathFont m:val="Cambria Math"/>
    <m:brkBin m:val="before"/>
    <m:brkBinSub m:val="--"/>
    <m:smallFrac m:val="0"/>
    <m:dispDef/>
    <m:lMargin m:val="0"/>
    <m:rMargin m:val="0"/>
    <m:defJc m:val="centerGroup"/>
    <m:wrapIndent m:val="1440"/>
    <m:intLim m:val="subSup"/>
    <m:naryLim m:val="undOvr"/>
  </m:mathPr>
  <w:themeFontLang w:val="en-I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BE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F9C"/>
    <w:pPr>
      <w:spacing w:after="200" w:line="276" w:lineRule="auto"/>
    </w:pPr>
    <w:rPr>
      <w:sz w:val="22"/>
      <w:szCs w:val="22"/>
      <w:lang w:val="en-US"/>
    </w:rPr>
  </w:style>
  <w:style w:type="paragraph" w:styleId="Heading1">
    <w:name w:val="heading 1"/>
    <w:basedOn w:val="Normal"/>
    <w:next w:val="Normal"/>
    <w:link w:val="Heading1Char"/>
    <w:autoRedefine/>
    <w:uiPriority w:val="9"/>
    <w:qFormat/>
    <w:rsid w:val="001B7278"/>
    <w:pPr>
      <w:keepNext/>
      <w:keepLines/>
      <w:spacing w:afterLines="200" w:after="480"/>
      <w:jc w:val="both"/>
      <w:outlineLvl w:val="0"/>
    </w:pPr>
    <w:rPr>
      <w:rFonts w:ascii="Calibri" w:eastAsiaTheme="majorEastAsia" w:hAnsi="Calibri" w:cs="Times New Roman"/>
      <w:bCs/>
      <w:sz w:val="20"/>
      <w:szCs w:val="20"/>
      <w:lang w:val="en-GB"/>
    </w:rPr>
  </w:style>
  <w:style w:type="paragraph" w:styleId="Heading2">
    <w:name w:val="heading 2"/>
    <w:basedOn w:val="Normal"/>
    <w:next w:val="Normal"/>
    <w:link w:val="Heading2Char"/>
    <w:uiPriority w:val="9"/>
    <w:semiHidden/>
    <w:unhideWhenUsed/>
    <w:qFormat/>
    <w:rsid w:val="0092555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7F9C"/>
    <w:pPr>
      <w:tabs>
        <w:tab w:val="center" w:pos="4252"/>
        <w:tab w:val="right" w:pos="8504"/>
      </w:tabs>
      <w:spacing w:after="0" w:line="240" w:lineRule="auto"/>
    </w:pPr>
    <w:rPr>
      <w:rFonts w:ascii="Calibri" w:eastAsia="Calibri" w:hAnsi="Calibri" w:cs="Times New Roman"/>
      <w:lang w:val="fr-FR"/>
    </w:rPr>
  </w:style>
  <w:style w:type="character" w:customStyle="1" w:styleId="HeaderChar">
    <w:name w:val="Header Char"/>
    <w:basedOn w:val="DefaultParagraphFont"/>
    <w:link w:val="Header"/>
    <w:uiPriority w:val="99"/>
    <w:rsid w:val="00D47F9C"/>
    <w:rPr>
      <w:rFonts w:ascii="Calibri" w:eastAsia="Calibri" w:hAnsi="Calibri" w:cs="Times New Roman"/>
      <w:sz w:val="22"/>
      <w:szCs w:val="22"/>
      <w:lang w:val="fr-FR"/>
    </w:rPr>
  </w:style>
  <w:style w:type="paragraph" w:styleId="ListParagraph">
    <w:name w:val="List Paragraph"/>
    <w:basedOn w:val="Normal"/>
    <w:uiPriority w:val="34"/>
    <w:qFormat/>
    <w:rsid w:val="00D47F9C"/>
    <w:pPr>
      <w:spacing w:after="0" w:line="240" w:lineRule="auto"/>
      <w:ind w:left="720"/>
      <w:contextualSpacing/>
    </w:pPr>
    <w:rPr>
      <w:rFonts w:ascii="Times New Roman" w:eastAsia="Times New Roman" w:hAnsi="Times New Roman" w:cs="Times New Roman"/>
      <w:sz w:val="24"/>
      <w:szCs w:val="24"/>
    </w:rPr>
  </w:style>
  <w:style w:type="paragraph" w:styleId="NoSpacing">
    <w:name w:val="No Spacing"/>
    <w:uiPriority w:val="1"/>
    <w:qFormat/>
    <w:rsid w:val="00D47F9C"/>
    <w:rPr>
      <w:sz w:val="22"/>
      <w:szCs w:val="22"/>
      <w:lang w:val="fr-FR"/>
    </w:rPr>
  </w:style>
  <w:style w:type="paragraph" w:styleId="EndnoteText">
    <w:name w:val="endnote text"/>
    <w:basedOn w:val="Normal"/>
    <w:link w:val="EndnoteTextChar"/>
    <w:unhideWhenUsed/>
    <w:rsid w:val="00D47F9C"/>
    <w:rPr>
      <w:rFonts w:ascii="Calibri" w:eastAsia="Calibri" w:hAnsi="Calibri" w:cs="Cordia New"/>
      <w:sz w:val="20"/>
      <w:szCs w:val="25"/>
      <w:lang w:bidi="th-TH"/>
    </w:rPr>
  </w:style>
  <w:style w:type="character" w:customStyle="1" w:styleId="EndnoteTextChar">
    <w:name w:val="Endnote Text Char"/>
    <w:basedOn w:val="DefaultParagraphFont"/>
    <w:link w:val="EndnoteText"/>
    <w:rsid w:val="00D47F9C"/>
    <w:rPr>
      <w:rFonts w:ascii="Calibri" w:eastAsia="Calibri" w:hAnsi="Calibri" w:cs="Cordia New"/>
      <w:sz w:val="20"/>
      <w:szCs w:val="25"/>
      <w:lang w:val="en-US" w:bidi="th-TH"/>
    </w:rPr>
  </w:style>
  <w:style w:type="character" w:styleId="EndnoteReference">
    <w:name w:val="endnote reference"/>
    <w:unhideWhenUsed/>
    <w:rsid w:val="00D47F9C"/>
    <w:rPr>
      <w:vertAlign w:val="superscript"/>
    </w:rPr>
  </w:style>
  <w:style w:type="character" w:customStyle="1" w:styleId="Heading1Char">
    <w:name w:val="Heading 1 Char"/>
    <w:basedOn w:val="DefaultParagraphFont"/>
    <w:link w:val="Heading1"/>
    <w:uiPriority w:val="9"/>
    <w:rsid w:val="001B7278"/>
    <w:rPr>
      <w:rFonts w:ascii="Calibri" w:eastAsiaTheme="majorEastAsia" w:hAnsi="Calibri" w:cs="Times New Roman"/>
      <w:bCs/>
      <w:sz w:val="20"/>
      <w:szCs w:val="20"/>
      <w:lang w:val="en-GB"/>
    </w:rPr>
  </w:style>
  <w:style w:type="character" w:customStyle="1" w:styleId="Heading2Char">
    <w:name w:val="Heading 2 Char"/>
    <w:basedOn w:val="DefaultParagraphFont"/>
    <w:link w:val="Heading2"/>
    <w:uiPriority w:val="9"/>
    <w:semiHidden/>
    <w:rsid w:val="00925555"/>
    <w:rPr>
      <w:rFonts w:asciiTheme="majorHAnsi" w:eastAsiaTheme="majorEastAsia" w:hAnsiTheme="majorHAnsi" w:cstheme="majorBidi"/>
      <w:color w:val="2F5496" w:themeColor="accent1" w:themeShade="BF"/>
      <w:sz w:val="26"/>
      <w:szCs w:val="26"/>
      <w:lang w:val="en-US"/>
    </w:rPr>
  </w:style>
  <w:style w:type="paragraph" w:customStyle="1" w:styleId="Standard">
    <w:name w:val="Standard"/>
    <w:rsid w:val="00925555"/>
    <w:pPr>
      <w:widowControl w:val="0"/>
      <w:suppressAutoHyphens/>
      <w:autoSpaceDN w:val="0"/>
      <w:textAlignment w:val="baseline"/>
    </w:pPr>
    <w:rPr>
      <w:rFonts w:ascii="Times New Roman" w:eastAsia="Arial Unicode MS" w:hAnsi="Times New Roman" w:cs="Arial Unicode MS"/>
      <w:kern w:val="3"/>
      <w:lang w:val="fr-FR" w:eastAsia="zh-CN" w:bidi="hi-IN"/>
    </w:rPr>
  </w:style>
  <w:style w:type="character" w:customStyle="1" w:styleId="A8">
    <w:name w:val="A8"/>
    <w:uiPriority w:val="99"/>
    <w:rsid w:val="00D26F64"/>
    <w:rPr>
      <w:color w:val="000000"/>
      <w:sz w:val="21"/>
      <w:szCs w:val="21"/>
    </w:rPr>
  </w:style>
  <w:style w:type="paragraph" w:customStyle="1" w:styleId="Standard1">
    <w:name w:val="Standard1"/>
    <w:rsid w:val="00BD22C9"/>
    <w:pPr>
      <w:widowControl w:val="0"/>
      <w:suppressAutoHyphens/>
      <w:autoSpaceDN w:val="0"/>
      <w:textAlignment w:val="baseline"/>
    </w:pPr>
    <w:rPr>
      <w:rFonts w:ascii="Times New Roman" w:eastAsia="Arial Unicode MS" w:hAnsi="Times New Roman" w:cs="Arial Unicode MS"/>
      <w:kern w:val="3"/>
      <w:lang w:val="fr-FR" w:eastAsia="zh-CN" w:bidi="hi-IN"/>
    </w:rPr>
  </w:style>
  <w:style w:type="paragraph" w:styleId="Footer">
    <w:name w:val="footer"/>
    <w:basedOn w:val="Normal"/>
    <w:link w:val="FooterChar"/>
    <w:uiPriority w:val="99"/>
    <w:unhideWhenUsed/>
    <w:rsid w:val="00DF05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0585"/>
    <w:rPr>
      <w:sz w:val="22"/>
      <w:szCs w:val="22"/>
      <w:lang w:val="en-US"/>
    </w:rPr>
  </w:style>
  <w:style w:type="character" w:styleId="PageNumber">
    <w:name w:val="page number"/>
    <w:basedOn w:val="DefaultParagraphFont"/>
    <w:uiPriority w:val="99"/>
    <w:semiHidden/>
    <w:unhideWhenUsed/>
    <w:rsid w:val="00DF0585"/>
  </w:style>
  <w:style w:type="paragraph" w:styleId="NormalWeb">
    <w:name w:val="Normal (Web)"/>
    <w:basedOn w:val="Normal"/>
    <w:uiPriority w:val="99"/>
    <w:unhideWhenUsed/>
    <w:rsid w:val="00E423D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F9C"/>
    <w:pPr>
      <w:spacing w:after="200" w:line="276" w:lineRule="auto"/>
    </w:pPr>
    <w:rPr>
      <w:sz w:val="22"/>
      <w:szCs w:val="22"/>
      <w:lang w:val="en-US"/>
    </w:rPr>
  </w:style>
  <w:style w:type="paragraph" w:styleId="Heading1">
    <w:name w:val="heading 1"/>
    <w:basedOn w:val="Normal"/>
    <w:next w:val="Normal"/>
    <w:link w:val="Heading1Char"/>
    <w:autoRedefine/>
    <w:uiPriority w:val="9"/>
    <w:qFormat/>
    <w:rsid w:val="001B7278"/>
    <w:pPr>
      <w:keepNext/>
      <w:keepLines/>
      <w:spacing w:afterLines="200" w:after="480"/>
      <w:jc w:val="both"/>
      <w:outlineLvl w:val="0"/>
    </w:pPr>
    <w:rPr>
      <w:rFonts w:ascii="Calibri" w:eastAsiaTheme="majorEastAsia" w:hAnsi="Calibri" w:cs="Times New Roman"/>
      <w:bCs/>
      <w:sz w:val="20"/>
      <w:szCs w:val="20"/>
      <w:lang w:val="en-GB"/>
    </w:rPr>
  </w:style>
  <w:style w:type="paragraph" w:styleId="Heading2">
    <w:name w:val="heading 2"/>
    <w:basedOn w:val="Normal"/>
    <w:next w:val="Normal"/>
    <w:link w:val="Heading2Char"/>
    <w:uiPriority w:val="9"/>
    <w:semiHidden/>
    <w:unhideWhenUsed/>
    <w:qFormat/>
    <w:rsid w:val="0092555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7F9C"/>
    <w:pPr>
      <w:tabs>
        <w:tab w:val="center" w:pos="4252"/>
        <w:tab w:val="right" w:pos="8504"/>
      </w:tabs>
      <w:spacing w:after="0" w:line="240" w:lineRule="auto"/>
    </w:pPr>
    <w:rPr>
      <w:rFonts w:ascii="Calibri" w:eastAsia="Calibri" w:hAnsi="Calibri" w:cs="Times New Roman"/>
      <w:lang w:val="fr-FR"/>
    </w:rPr>
  </w:style>
  <w:style w:type="character" w:customStyle="1" w:styleId="HeaderChar">
    <w:name w:val="Header Char"/>
    <w:basedOn w:val="DefaultParagraphFont"/>
    <w:link w:val="Header"/>
    <w:uiPriority w:val="99"/>
    <w:rsid w:val="00D47F9C"/>
    <w:rPr>
      <w:rFonts w:ascii="Calibri" w:eastAsia="Calibri" w:hAnsi="Calibri" w:cs="Times New Roman"/>
      <w:sz w:val="22"/>
      <w:szCs w:val="22"/>
      <w:lang w:val="fr-FR"/>
    </w:rPr>
  </w:style>
  <w:style w:type="paragraph" w:styleId="ListParagraph">
    <w:name w:val="List Paragraph"/>
    <w:basedOn w:val="Normal"/>
    <w:uiPriority w:val="34"/>
    <w:qFormat/>
    <w:rsid w:val="00D47F9C"/>
    <w:pPr>
      <w:spacing w:after="0" w:line="240" w:lineRule="auto"/>
      <w:ind w:left="720"/>
      <w:contextualSpacing/>
    </w:pPr>
    <w:rPr>
      <w:rFonts w:ascii="Times New Roman" w:eastAsia="Times New Roman" w:hAnsi="Times New Roman" w:cs="Times New Roman"/>
      <w:sz w:val="24"/>
      <w:szCs w:val="24"/>
    </w:rPr>
  </w:style>
  <w:style w:type="paragraph" w:styleId="NoSpacing">
    <w:name w:val="No Spacing"/>
    <w:uiPriority w:val="1"/>
    <w:qFormat/>
    <w:rsid w:val="00D47F9C"/>
    <w:rPr>
      <w:sz w:val="22"/>
      <w:szCs w:val="22"/>
      <w:lang w:val="fr-FR"/>
    </w:rPr>
  </w:style>
  <w:style w:type="paragraph" w:styleId="EndnoteText">
    <w:name w:val="endnote text"/>
    <w:basedOn w:val="Normal"/>
    <w:link w:val="EndnoteTextChar"/>
    <w:unhideWhenUsed/>
    <w:rsid w:val="00D47F9C"/>
    <w:rPr>
      <w:rFonts w:ascii="Calibri" w:eastAsia="Calibri" w:hAnsi="Calibri" w:cs="Cordia New"/>
      <w:sz w:val="20"/>
      <w:szCs w:val="25"/>
      <w:lang w:bidi="th-TH"/>
    </w:rPr>
  </w:style>
  <w:style w:type="character" w:customStyle="1" w:styleId="EndnoteTextChar">
    <w:name w:val="Endnote Text Char"/>
    <w:basedOn w:val="DefaultParagraphFont"/>
    <w:link w:val="EndnoteText"/>
    <w:rsid w:val="00D47F9C"/>
    <w:rPr>
      <w:rFonts w:ascii="Calibri" w:eastAsia="Calibri" w:hAnsi="Calibri" w:cs="Cordia New"/>
      <w:sz w:val="20"/>
      <w:szCs w:val="25"/>
      <w:lang w:val="en-US" w:bidi="th-TH"/>
    </w:rPr>
  </w:style>
  <w:style w:type="character" w:styleId="EndnoteReference">
    <w:name w:val="endnote reference"/>
    <w:unhideWhenUsed/>
    <w:rsid w:val="00D47F9C"/>
    <w:rPr>
      <w:vertAlign w:val="superscript"/>
    </w:rPr>
  </w:style>
  <w:style w:type="character" w:customStyle="1" w:styleId="Heading1Char">
    <w:name w:val="Heading 1 Char"/>
    <w:basedOn w:val="DefaultParagraphFont"/>
    <w:link w:val="Heading1"/>
    <w:uiPriority w:val="9"/>
    <w:rsid w:val="001B7278"/>
    <w:rPr>
      <w:rFonts w:ascii="Calibri" w:eastAsiaTheme="majorEastAsia" w:hAnsi="Calibri" w:cs="Times New Roman"/>
      <w:bCs/>
      <w:sz w:val="20"/>
      <w:szCs w:val="20"/>
      <w:lang w:val="en-GB"/>
    </w:rPr>
  </w:style>
  <w:style w:type="character" w:customStyle="1" w:styleId="Heading2Char">
    <w:name w:val="Heading 2 Char"/>
    <w:basedOn w:val="DefaultParagraphFont"/>
    <w:link w:val="Heading2"/>
    <w:uiPriority w:val="9"/>
    <w:semiHidden/>
    <w:rsid w:val="00925555"/>
    <w:rPr>
      <w:rFonts w:asciiTheme="majorHAnsi" w:eastAsiaTheme="majorEastAsia" w:hAnsiTheme="majorHAnsi" w:cstheme="majorBidi"/>
      <w:color w:val="2F5496" w:themeColor="accent1" w:themeShade="BF"/>
      <w:sz w:val="26"/>
      <w:szCs w:val="26"/>
      <w:lang w:val="en-US"/>
    </w:rPr>
  </w:style>
  <w:style w:type="paragraph" w:customStyle="1" w:styleId="Standard">
    <w:name w:val="Standard"/>
    <w:rsid w:val="00925555"/>
    <w:pPr>
      <w:widowControl w:val="0"/>
      <w:suppressAutoHyphens/>
      <w:autoSpaceDN w:val="0"/>
      <w:textAlignment w:val="baseline"/>
    </w:pPr>
    <w:rPr>
      <w:rFonts w:ascii="Times New Roman" w:eastAsia="Arial Unicode MS" w:hAnsi="Times New Roman" w:cs="Arial Unicode MS"/>
      <w:kern w:val="3"/>
      <w:lang w:val="fr-FR" w:eastAsia="zh-CN" w:bidi="hi-IN"/>
    </w:rPr>
  </w:style>
  <w:style w:type="character" w:customStyle="1" w:styleId="A8">
    <w:name w:val="A8"/>
    <w:uiPriority w:val="99"/>
    <w:rsid w:val="00D26F64"/>
    <w:rPr>
      <w:color w:val="000000"/>
      <w:sz w:val="21"/>
      <w:szCs w:val="21"/>
    </w:rPr>
  </w:style>
  <w:style w:type="paragraph" w:customStyle="1" w:styleId="Standard1">
    <w:name w:val="Standard1"/>
    <w:rsid w:val="00BD22C9"/>
    <w:pPr>
      <w:widowControl w:val="0"/>
      <w:suppressAutoHyphens/>
      <w:autoSpaceDN w:val="0"/>
      <w:textAlignment w:val="baseline"/>
    </w:pPr>
    <w:rPr>
      <w:rFonts w:ascii="Times New Roman" w:eastAsia="Arial Unicode MS" w:hAnsi="Times New Roman" w:cs="Arial Unicode MS"/>
      <w:kern w:val="3"/>
      <w:lang w:val="fr-FR" w:eastAsia="zh-CN" w:bidi="hi-IN"/>
    </w:rPr>
  </w:style>
  <w:style w:type="paragraph" w:styleId="Footer">
    <w:name w:val="footer"/>
    <w:basedOn w:val="Normal"/>
    <w:link w:val="FooterChar"/>
    <w:uiPriority w:val="99"/>
    <w:unhideWhenUsed/>
    <w:rsid w:val="00DF05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0585"/>
    <w:rPr>
      <w:sz w:val="22"/>
      <w:szCs w:val="22"/>
      <w:lang w:val="en-US"/>
    </w:rPr>
  </w:style>
  <w:style w:type="character" w:styleId="PageNumber">
    <w:name w:val="page number"/>
    <w:basedOn w:val="DefaultParagraphFont"/>
    <w:uiPriority w:val="99"/>
    <w:semiHidden/>
    <w:unhideWhenUsed/>
    <w:rsid w:val="00DF0585"/>
  </w:style>
  <w:style w:type="paragraph" w:styleId="NormalWeb">
    <w:name w:val="Normal (Web)"/>
    <w:basedOn w:val="Normal"/>
    <w:uiPriority w:val="99"/>
    <w:unhideWhenUsed/>
    <w:rsid w:val="00E423D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3</Pages>
  <Words>190</Words>
  <Characters>1085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Mbengue</dc:creator>
  <cp:lastModifiedBy>lenovo</cp:lastModifiedBy>
  <cp:revision>16</cp:revision>
  <dcterms:created xsi:type="dcterms:W3CDTF">2019-10-07T20:09:00Z</dcterms:created>
  <dcterms:modified xsi:type="dcterms:W3CDTF">2019-10-09T22:19:00Z</dcterms:modified>
</cp:coreProperties>
</file>