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9F" w:rsidRPr="00ED729F" w:rsidRDefault="00ED729F" w:rsidP="008D4179">
      <w:pPr>
        <w:pStyle w:val="HChG"/>
      </w:pPr>
      <w:r w:rsidRPr="00ED729F">
        <w:t>Annex 1: National Task Force on Universal Periodic Review</w:t>
      </w:r>
    </w:p>
    <w:p w:rsidR="00ED729F" w:rsidRPr="00ED729F" w:rsidRDefault="00ED729F" w:rsidP="00ED729F">
      <w:pPr>
        <w:pStyle w:val="SingleTxtG"/>
        <w:rPr>
          <w:lang w:val="en-GB"/>
        </w:rPr>
      </w:pPr>
      <w:r w:rsidRPr="00ED729F">
        <w:rPr>
          <w:lang w:val="en-GB"/>
        </w:rPr>
        <w:t>1.</w:t>
      </w:r>
      <w:r w:rsidRPr="00ED729F">
        <w:rPr>
          <w:lang w:val="en-GB"/>
        </w:rPr>
        <w:tab/>
      </w:r>
      <w:r w:rsidRPr="00ED729F">
        <w:rPr>
          <w:lang w:val="en-GB"/>
        </w:rPr>
        <w:t xml:space="preserve">Ministry of Justice and Constitutional Affairs; </w:t>
      </w:r>
    </w:p>
    <w:p w:rsidR="00ED729F" w:rsidRPr="00ED729F" w:rsidRDefault="00ED729F" w:rsidP="00ED729F">
      <w:pPr>
        <w:pStyle w:val="SingleTxtG"/>
        <w:rPr>
          <w:lang w:val="en-GB"/>
        </w:rPr>
      </w:pPr>
      <w:r w:rsidRPr="00ED729F">
        <w:rPr>
          <w:lang w:val="en-GB"/>
        </w:rPr>
        <w:t>2.</w:t>
      </w:r>
      <w:r w:rsidRPr="00ED729F">
        <w:rPr>
          <w:lang w:val="en-GB"/>
        </w:rPr>
        <w:tab/>
      </w:r>
      <w:r w:rsidRPr="00ED729F">
        <w:rPr>
          <w:lang w:val="en-GB"/>
        </w:rPr>
        <w:t>Office of the President and Cabinet</w:t>
      </w:r>
      <w:bookmarkStart w:id="0" w:name="_GoBack"/>
      <w:bookmarkEnd w:id="0"/>
      <w:r w:rsidRPr="00ED729F">
        <w:rPr>
          <w:lang w:val="en-GB"/>
        </w:rPr>
        <w:t xml:space="preserve">; </w:t>
      </w:r>
    </w:p>
    <w:p w:rsidR="00ED729F" w:rsidRPr="00ED729F" w:rsidRDefault="00ED729F" w:rsidP="00ED729F">
      <w:pPr>
        <w:pStyle w:val="SingleTxtG"/>
        <w:rPr>
          <w:lang w:val="en-GB"/>
        </w:rPr>
      </w:pPr>
      <w:r w:rsidRPr="00ED729F">
        <w:rPr>
          <w:lang w:val="en-GB"/>
        </w:rPr>
        <w:t>3.</w:t>
      </w:r>
      <w:r w:rsidRPr="00ED729F">
        <w:rPr>
          <w:lang w:val="en-GB"/>
        </w:rPr>
        <w:tab/>
      </w:r>
      <w:r w:rsidRPr="00ED729F">
        <w:rPr>
          <w:lang w:val="en-GB"/>
        </w:rPr>
        <w:t xml:space="preserve">Ministry of Foreign Affairs and International Cooperation; </w:t>
      </w:r>
    </w:p>
    <w:p w:rsidR="00ED729F" w:rsidRPr="00ED729F" w:rsidRDefault="00ED729F" w:rsidP="00ED729F">
      <w:pPr>
        <w:pStyle w:val="SingleTxtG"/>
        <w:rPr>
          <w:lang w:val="en-GB"/>
        </w:rPr>
      </w:pPr>
      <w:r w:rsidRPr="00ED729F">
        <w:rPr>
          <w:lang w:val="en-GB"/>
        </w:rPr>
        <w:t>4.</w:t>
      </w:r>
      <w:r w:rsidRPr="00ED729F">
        <w:rPr>
          <w:lang w:val="en-GB"/>
        </w:rPr>
        <w:tab/>
      </w:r>
      <w:r w:rsidRPr="00ED729F">
        <w:rPr>
          <w:lang w:val="en-GB"/>
        </w:rPr>
        <w:t xml:space="preserve">Ministry of Education Science and Technology; </w:t>
      </w:r>
    </w:p>
    <w:p w:rsidR="00ED729F" w:rsidRPr="00ED729F" w:rsidRDefault="00ED729F" w:rsidP="00ED729F">
      <w:pPr>
        <w:pStyle w:val="SingleTxtG"/>
        <w:rPr>
          <w:lang w:val="en-GB"/>
        </w:rPr>
      </w:pPr>
      <w:r w:rsidRPr="00ED729F">
        <w:rPr>
          <w:lang w:val="en-GB"/>
        </w:rPr>
        <w:t>5.</w:t>
      </w:r>
      <w:r w:rsidRPr="00ED729F">
        <w:rPr>
          <w:lang w:val="en-GB"/>
        </w:rPr>
        <w:tab/>
      </w:r>
      <w:r w:rsidRPr="00ED729F">
        <w:rPr>
          <w:lang w:val="en-GB"/>
        </w:rPr>
        <w:t xml:space="preserve">Ministry of Agriculture and Food Security; </w:t>
      </w:r>
    </w:p>
    <w:p w:rsidR="00ED729F" w:rsidRPr="00ED729F" w:rsidRDefault="00ED729F" w:rsidP="00ED729F">
      <w:pPr>
        <w:pStyle w:val="SingleTxtG"/>
        <w:rPr>
          <w:lang w:val="en-GB"/>
        </w:rPr>
      </w:pPr>
      <w:r w:rsidRPr="00ED729F">
        <w:rPr>
          <w:lang w:val="en-GB"/>
        </w:rPr>
        <w:t>6.</w:t>
      </w:r>
      <w:r w:rsidRPr="00ED729F">
        <w:rPr>
          <w:lang w:val="en-GB"/>
        </w:rPr>
        <w:tab/>
      </w:r>
      <w:r w:rsidRPr="00ED729F">
        <w:rPr>
          <w:lang w:val="en-GB"/>
        </w:rPr>
        <w:t xml:space="preserve">Ministry of Finance and Economic Planning and Development; </w:t>
      </w:r>
    </w:p>
    <w:p w:rsidR="00ED729F" w:rsidRPr="00ED729F" w:rsidRDefault="00ED729F" w:rsidP="00ED729F">
      <w:pPr>
        <w:pStyle w:val="SingleTxtG"/>
        <w:rPr>
          <w:lang w:val="en-GB"/>
        </w:rPr>
      </w:pPr>
      <w:r w:rsidRPr="00ED729F">
        <w:rPr>
          <w:lang w:val="en-GB"/>
        </w:rPr>
        <w:t>7.</w:t>
      </w:r>
      <w:r w:rsidRPr="00ED729F">
        <w:rPr>
          <w:lang w:val="en-GB"/>
        </w:rPr>
        <w:tab/>
      </w:r>
      <w:r w:rsidRPr="00ED729F">
        <w:rPr>
          <w:lang w:val="en-GB"/>
        </w:rPr>
        <w:t xml:space="preserve">Ministry of Home Affairs; </w:t>
      </w:r>
    </w:p>
    <w:p w:rsidR="00ED729F" w:rsidRPr="00ED729F" w:rsidRDefault="00ED729F" w:rsidP="00ED729F">
      <w:pPr>
        <w:pStyle w:val="SingleTxtG"/>
        <w:rPr>
          <w:lang w:val="en-GB"/>
        </w:rPr>
      </w:pPr>
      <w:r w:rsidRPr="00ED729F">
        <w:rPr>
          <w:lang w:val="en-GB"/>
        </w:rPr>
        <w:t>8.</w:t>
      </w:r>
      <w:r w:rsidRPr="00ED729F">
        <w:rPr>
          <w:lang w:val="en-GB"/>
        </w:rPr>
        <w:tab/>
      </w:r>
      <w:r w:rsidRPr="00ED729F">
        <w:rPr>
          <w:lang w:val="en-GB"/>
        </w:rPr>
        <w:t xml:space="preserve">Ministry of Gender, Children, Disabilities and Social Welfare; </w:t>
      </w:r>
    </w:p>
    <w:p w:rsidR="00ED729F" w:rsidRPr="00ED729F" w:rsidRDefault="00ED729F" w:rsidP="00ED729F">
      <w:pPr>
        <w:pStyle w:val="SingleTxtG"/>
        <w:rPr>
          <w:lang w:val="en-GB"/>
        </w:rPr>
      </w:pPr>
      <w:r>
        <w:rPr>
          <w:lang w:val="en-GB"/>
        </w:rPr>
        <w:t>9.</w:t>
      </w:r>
      <w:r>
        <w:rPr>
          <w:lang w:val="en-GB"/>
        </w:rPr>
        <w:tab/>
      </w:r>
      <w:r w:rsidRPr="00ED729F">
        <w:rPr>
          <w:lang w:val="en-GB"/>
        </w:rPr>
        <w:t xml:space="preserve">Ministry of Labour and Manpower Development; </w:t>
      </w:r>
    </w:p>
    <w:p w:rsidR="00ED729F" w:rsidRPr="00ED729F" w:rsidRDefault="00ED729F" w:rsidP="00ED729F">
      <w:pPr>
        <w:pStyle w:val="SingleTxtG"/>
        <w:rPr>
          <w:lang w:val="en-GB"/>
        </w:rPr>
      </w:pPr>
      <w:r>
        <w:rPr>
          <w:lang w:val="en-GB"/>
        </w:rPr>
        <w:t>10.</w:t>
      </w:r>
      <w:r>
        <w:rPr>
          <w:lang w:val="en-GB"/>
        </w:rPr>
        <w:tab/>
      </w:r>
      <w:r w:rsidRPr="00ED729F">
        <w:rPr>
          <w:lang w:val="en-GB"/>
        </w:rPr>
        <w:t xml:space="preserve">Ministry of Health; </w:t>
      </w:r>
    </w:p>
    <w:p w:rsidR="00ED729F" w:rsidRPr="00ED729F" w:rsidRDefault="00ED729F" w:rsidP="00ED729F">
      <w:pPr>
        <w:pStyle w:val="SingleTxtG"/>
        <w:rPr>
          <w:lang w:val="en-GB"/>
        </w:rPr>
      </w:pPr>
      <w:r>
        <w:rPr>
          <w:lang w:val="en-GB"/>
        </w:rPr>
        <w:t>11.</w:t>
      </w:r>
      <w:r>
        <w:rPr>
          <w:lang w:val="en-GB"/>
        </w:rPr>
        <w:tab/>
      </w:r>
      <w:r w:rsidRPr="00ED729F">
        <w:rPr>
          <w:lang w:val="en-GB"/>
        </w:rPr>
        <w:t xml:space="preserve">Ministry of Lands and Urban Development; </w:t>
      </w:r>
    </w:p>
    <w:p w:rsidR="00ED729F" w:rsidRPr="00ED729F" w:rsidRDefault="00ED729F" w:rsidP="00ED729F">
      <w:pPr>
        <w:pStyle w:val="SingleTxtG"/>
        <w:rPr>
          <w:lang w:val="en-GB"/>
        </w:rPr>
      </w:pPr>
      <w:r>
        <w:rPr>
          <w:lang w:val="en-GB"/>
        </w:rPr>
        <w:t>12.</w:t>
      </w:r>
      <w:r>
        <w:rPr>
          <w:lang w:val="en-GB"/>
        </w:rPr>
        <w:tab/>
      </w:r>
      <w:r w:rsidRPr="00ED729F">
        <w:rPr>
          <w:lang w:val="en-GB"/>
        </w:rPr>
        <w:t xml:space="preserve">The Judiciary; </w:t>
      </w:r>
    </w:p>
    <w:p w:rsidR="00ED729F" w:rsidRPr="00ED729F" w:rsidRDefault="00ED729F" w:rsidP="00ED729F">
      <w:pPr>
        <w:pStyle w:val="SingleTxtG"/>
        <w:rPr>
          <w:lang w:val="en-GB"/>
        </w:rPr>
      </w:pPr>
      <w:r>
        <w:rPr>
          <w:lang w:val="en-GB"/>
        </w:rPr>
        <w:t>13.</w:t>
      </w:r>
      <w:r>
        <w:rPr>
          <w:lang w:val="en-GB"/>
        </w:rPr>
        <w:tab/>
      </w:r>
      <w:r w:rsidRPr="00ED729F">
        <w:rPr>
          <w:lang w:val="en-GB"/>
        </w:rPr>
        <w:t xml:space="preserve">The National Assembly; </w:t>
      </w:r>
    </w:p>
    <w:p w:rsidR="00ED729F" w:rsidRPr="00ED729F" w:rsidRDefault="00ED729F" w:rsidP="00ED729F">
      <w:pPr>
        <w:pStyle w:val="SingleTxtG"/>
        <w:rPr>
          <w:lang w:val="en-GB"/>
        </w:rPr>
      </w:pPr>
      <w:r w:rsidRPr="00ED729F">
        <w:rPr>
          <w:lang w:val="en-GB"/>
        </w:rPr>
        <w:t>14.</w:t>
      </w:r>
      <w:r>
        <w:rPr>
          <w:lang w:val="en-GB"/>
        </w:rPr>
        <w:tab/>
      </w:r>
      <w:r w:rsidRPr="00ED729F">
        <w:rPr>
          <w:lang w:val="en-GB"/>
        </w:rPr>
        <w:t xml:space="preserve">Malawi Police Service; </w:t>
      </w:r>
    </w:p>
    <w:p w:rsidR="00ED729F" w:rsidRPr="00ED729F" w:rsidRDefault="00ED729F" w:rsidP="00ED729F">
      <w:pPr>
        <w:pStyle w:val="SingleTxtG"/>
        <w:rPr>
          <w:lang w:val="en-GB"/>
        </w:rPr>
      </w:pPr>
      <w:r w:rsidRPr="00ED729F">
        <w:rPr>
          <w:lang w:val="en-GB"/>
        </w:rPr>
        <w:t>15.</w:t>
      </w:r>
      <w:r>
        <w:rPr>
          <w:lang w:val="en-GB"/>
        </w:rPr>
        <w:tab/>
      </w:r>
      <w:r w:rsidRPr="00ED729F">
        <w:rPr>
          <w:lang w:val="en-GB"/>
        </w:rPr>
        <w:t xml:space="preserve">Malawi Prisons Service; </w:t>
      </w:r>
    </w:p>
    <w:p w:rsidR="00ED729F" w:rsidRPr="00ED729F" w:rsidRDefault="00ED729F" w:rsidP="00ED729F">
      <w:pPr>
        <w:pStyle w:val="SingleTxtG"/>
        <w:rPr>
          <w:lang w:val="en-GB"/>
        </w:rPr>
      </w:pPr>
      <w:r>
        <w:rPr>
          <w:lang w:val="en-GB"/>
        </w:rPr>
        <w:t>16.</w:t>
      </w:r>
      <w:r>
        <w:rPr>
          <w:lang w:val="en-GB"/>
        </w:rPr>
        <w:tab/>
      </w:r>
      <w:r w:rsidRPr="00ED729F">
        <w:rPr>
          <w:lang w:val="en-GB"/>
        </w:rPr>
        <w:t xml:space="preserve">National Statistical Office; </w:t>
      </w:r>
    </w:p>
    <w:p w:rsidR="00ED729F" w:rsidRPr="00ED729F" w:rsidRDefault="00ED729F" w:rsidP="00ED729F">
      <w:pPr>
        <w:pStyle w:val="SingleTxtG"/>
        <w:rPr>
          <w:lang w:val="en-GB"/>
        </w:rPr>
      </w:pPr>
      <w:r>
        <w:rPr>
          <w:lang w:val="en-GB"/>
        </w:rPr>
        <w:t>17.</w:t>
      </w:r>
      <w:r>
        <w:rPr>
          <w:lang w:val="en-GB"/>
        </w:rPr>
        <w:tab/>
      </w:r>
      <w:r w:rsidRPr="00ED729F">
        <w:rPr>
          <w:lang w:val="en-GB"/>
        </w:rPr>
        <w:t xml:space="preserve">Human Rights Commission; </w:t>
      </w:r>
    </w:p>
    <w:p w:rsidR="00ED729F" w:rsidRPr="00ED729F" w:rsidRDefault="00ED729F" w:rsidP="00ED729F">
      <w:pPr>
        <w:pStyle w:val="SingleTxtG"/>
        <w:rPr>
          <w:lang w:val="en-GB"/>
        </w:rPr>
      </w:pPr>
      <w:r>
        <w:rPr>
          <w:lang w:val="en-GB"/>
        </w:rPr>
        <w:t>18.</w:t>
      </w:r>
      <w:r>
        <w:rPr>
          <w:lang w:val="en-GB"/>
        </w:rPr>
        <w:tab/>
      </w:r>
      <w:r w:rsidRPr="00ED729F">
        <w:rPr>
          <w:lang w:val="en-GB"/>
        </w:rPr>
        <w:t xml:space="preserve">Law Commission; </w:t>
      </w:r>
    </w:p>
    <w:p w:rsidR="00ED729F" w:rsidRPr="00ED729F" w:rsidRDefault="00ED729F" w:rsidP="00ED729F">
      <w:pPr>
        <w:pStyle w:val="SingleTxtG"/>
        <w:rPr>
          <w:lang w:val="en-GB"/>
        </w:rPr>
      </w:pPr>
      <w:r>
        <w:rPr>
          <w:lang w:val="en-GB"/>
        </w:rPr>
        <w:t>19.</w:t>
      </w:r>
      <w:r>
        <w:rPr>
          <w:lang w:val="en-GB"/>
        </w:rPr>
        <w:tab/>
      </w:r>
      <w:r w:rsidRPr="00ED729F">
        <w:rPr>
          <w:lang w:val="en-GB"/>
        </w:rPr>
        <w:t xml:space="preserve">Office of the Ombudsman; </w:t>
      </w:r>
    </w:p>
    <w:p w:rsidR="00ED729F" w:rsidRPr="00ED729F" w:rsidRDefault="00ED729F" w:rsidP="00ED729F">
      <w:pPr>
        <w:pStyle w:val="SingleTxtG"/>
        <w:rPr>
          <w:lang w:val="en-GB"/>
        </w:rPr>
      </w:pPr>
      <w:r>
        <w:rPr>
          <w:lang w:val="en-GB"/>
        </w:rPr>
        <w:t>20.</w:t>
      </w:r>
      <w:r>
        <w:rPr>
          <w:lang w:val="en-GB"/>
        </w:rPr>
        <w:tab/>
      </w:r>
      <w:r w:rsidRPr="00ED729F">
        <w:rPr>
          <w:lang w:val="en-GB"/>
        </w:rPr>
        <w:t xml:space="preserve">Anti-Corruption Bureau; </w:t>
      </w:r>
    </w:p>
    <w:p w:rsidR="00ED729F" w:rsidRPr="00ED729F" w:rsidRDefault="00ED729F" w:rsidP="00ED729F">
      <w:pPr>
        <w:pStyle w:val="SingleTxtG"/>
        <w:rPr>
          <w:lang w:val="en-GB"/>
        </w:rPr>
      </w:pPr>
      <w:r>
        <w:rPr>
          <w:lang w:val="en-GB"/>
        </w:rPr>
        <w:t>21.</w:t>
      </w:r>
      <w:r>
        <w:rPr>
          <w:lang w:val="en-GB"/>
        </w:rPr>
        <w:tab/>
      </w:r>
      <w:r w:rsidRPr="00ED729F">
        <w:rPr>
          <w:lang w:val="en-GB"/>
        </w:rPr>
        <w:t xml:space="preserve">Public Affairs Committee; </w:t>
      </w:r>
    </w:p>
    <w:p w:rsidR="00ED729F" w:rsidRPr="00ED729F" w:rsidRDefault="00ED729F" w:rsidP="00ED729F">
      <w:pPr>
        <w:pStyle w:val="SingleTxtG"/>
        <w:rPr>
          <w:lang w:val="en-GB"/>
        </w:rPr>
      </w:pPr>
      <w:r>
        <w:rPr>
          <w:lang w:val="en-GB"/>
        </w:rPr>
        <w:t>22.</w:t>
      </w:r>
      <w:r>
        <w:rPr>
          <w:lang w:val="en-GB"/>
        </w:rPr>
        <w:tab/>
      </w:r>
      <w:r w:rsidRPr="00ED729F">
        <w:rPr>
          <w:lang w:val="en-GB"/>
        </w:rPr>
        <w:t xml:space="preserve">Centre for Human Rights and Rehabilitation; </w:t>
      </w:r>
    </w:p>
    <w:p w:rsidR="00ED729F" w:rsidRPr="00ED729F" w:rsidRDefault="00ED729F" w:rsidP="00ED729F">
      <w:pPr>
        <w:pStyle w:val="SingleTxtG"/>
        <w:rPr>
          <w:lang w:val="en-GB"/>
        </w:rPr>
      </w:pPr>
      <w:r>
        <w:rPr>
          <w:lang w:val="en-GB"/>
        </w:rPr>
        <w:t>23.</w:t>
      </w:r>
      <w:r>
        <w:rPr>
          <w:lang w:val="en-GB"/>
        </w:rPr>
        <w:tab/>
      </w:r>
      <w:r w:rsidRPr="00ED729F">
        <w:rPr>
          <w:lang w:val="en-GB"/>
        </w:rPr>
        <w:t xml:space="preserve">Malawi Law Society; </w:t>
      </w:r>
    </w:p>
    <w:p w:rsidR="00ED729F" w:rsidRPr="00ED729F" w:rsidRDefault="00ED729F" w:rsidP="00ED729F">
      <w:pPr>
        <w:pStyle w:val="SingleTxtG"/>
        <w:rPr>
          <w:lang w:val="en-GB"/>
        </w:rPr>
      </w:pPr>
      <w:r>
        <w:rPr>
          <w:lang w:val="en-GB"/>
        </w:rPr>
        <w:t>24.</w:t>
      </w:r>
      <w:r>
        <w:rPr>
          <w:lang w:val="en-GB"/>
        </w:rPr>
        <w:tab/>
      </w:r>
      <w:r w:rsidRPr="00ED729F">
        <w:rPr>
          <w:lang w:val="en-GB"/>
        </w:rPr>
        <w:t xml:space="preserve">Centre for the Development of People; </w:t>
      </w:r>
    </w:p>
    <w:p w:rsidR="00ED729F" w:rsidRPr="00ED729F" w:rsidRDefault="00ED729F" w:rsidP="00ED729F">
      <w:pPr>
        <w:pStyle w:val="SingleTxtG"/>
        <w:rPr>
          <w:lang w:val="en-GB"/>
        </w:rPr>
      </w:pPr>
      <w:r>
        <w:rPr>
          <w:lang w:val="en-GB"/>
        </w:rPr>
        <w:t>25.</w:t>
      </w:r>
      <w:r>
        <w:rPr>
          <w:lang w:val="en-GB"/>
        </w:rPr>
        <w:tab/>
      </w:r>
      <w:r w:rsidRPr="00ED729F">
        <w:rPr>
          <w:lang w:val="en-GB"/>
        </w:rPr>
        <w:t xml:space="preserve">Catholic Commission for Justice and Peace; </w:t>
      </w:r>
    </w:p>
    <w:p w:rsidR="00ED729F" w:rsidRPr="00ED729F" w:rsidRDefault="00ED729F" w:rsidP="00ED729F">
      <w:pPr>
        <w:pStyle w:val="SingleTxtG"/>
        <w:rPr>
          <w:lang w:val="en-GB"/>
        </w:rPr>
      </w:pPr>
      <w:r w:rsidRPr="00ED729F">
        <w:rPr>
          <w:lang w:val="en-GB"/>
        </w:rPr>
        <w:t>26.</w:t>
      </w:r>
      <w:r>
        <w:rPr>
          <w:lang w:val="en-GB"/>
        </w:rPr>
        <w:tab/>
      </w:r>
      <w:r w:rsidRPr="00ED729F">
        <w:rPr>
          <w:lang w:val="en-GB"/>
        </w:rPr>
        <w:t xml:space="preserve">Ipas; </w:t>
      </w:r>
    </w:p>
    <w:p w:rsidR="00ED729F" w:rsidRPr="00ED729F" w:rsidRDefault="00ED729F" w:rsidP="00ED729F">
      <w:pPr>
        <w:pStyle w:val="SingleTxtG"/>
        <w:rPr>
          <w:lang w:val="en-GB"/>
        </w:rPr>
      </w:pPr>
      <w:r>
        <w:rPr>
          <w:lang w:val="en-GB"/>
        </w:rPr>
        <w:t>27.</w:t>
      </w:r>
      <w:r>
        <w:rPr>
          <w:lang w:val="en-GB"/>
        </w:rPr>
        <w:tab/>
      </w:r>
      <w:r w:rsidRPr="00ED729F">
        <w:rPr>
          <w:lang w:val="en-GB"/>
        </w:rPr>
        <w:t xml:space="preserve">Centre for Human Rights Education, Advice and Assistance; </w:t>
      </w:r>
    </w:p>
    <w:p w:rsidR="00ED729F" w:rsidRPr="00ED729F" w:rsidRDefault="00ED729F" w:rsidP="00ED729F">
      <w:pPr>
        <w:pStyle w:val="SingleTxtG"/>
        <w:rPr>
          <w:lang w:val="en-GB"/>
        </w:rPr>
      </w:pPr>
      <w:r>
        <w:rPr>
          <w:lang w:val="en-GB"/>
        </w:rPr>
        <w:t>28.</w:t>
      </w:r>
      <w:r>
        <w:rPr>
          <w:lang w:val="en-GB"/>
        </w:rPr>
        <w:tab/>
      </w:r>
      <w:r w:rsidRPr="00ED729F">
        <w:rPr>
          <w:lang w:val="en-GB"/>
        </w:rPr>
        <w:t>Paralegal Advisory Service</w:t>
      </w:r>
    </w:p>
    <w:p w:rsidR="00ED729F" w:rsidRPr="00ED729F" w:rsidRDefault="00ED729F" w:rsidP="00ED729F">
      <w:pPr>
        <w:pStyle w:val="SingleTxtG"/>
        <w:rPr>
          <w:lang w:val="en-GB"/>
        </w:rPr>
      </w:pPr>
      <w:r>
        <w:rPr>
          <w:lang w:val="en-GB"/>
        </w:rPr>
        <w:t>29.</w:t>
      </w:r>
      <w:r>
        <w:rPr>
          <w:lang w:val="en-GB"/>
        </w:rPr>
        <w:tab/>
      </w:r>
      <w:r w:rsidRPr="00ED729F">
        <w:rPr>
          <w:lang w:val="en-GB"/>
        </w:rPr>
        <w:t>Law Faculty, University of Malawi</w:t>
      </w:r>
    </w:p>
    <w:p w:rsidR="00ED729F" w:rsidRPr="00ED729F" w:rsidRDefault="00ED729F" w:rsidP="00ED729F">
      <w:pPr>
        <w:pStyle w:val="SingleTxtG"/>
        <w:rPr>
          <w:lang w:val="en-GB"/>
        </w:rPr>
      </w:pPr>
      <w:r w:rsidRPr="00ED729F">
        <w:rPr>
          <w:lang w:val="en-GB"/>
        </w:rPr>
        <w:t>30. Legal Aid Bureau</w:t>
      </w:r>
    </w:p>
    <w:p w:rsidR="00ED729F" w:rsidRPr="00ED729F" w:rsidRDefault="00ED729F" w:rsidP="00ED729F">
      <w:pPr>
        <w:pStyle w:val="SingleTxtG"/>
        <w:rPr>
          <w:lang w:val="en-GB"/>
        </w:rPr>
      </w:pPr>
      <w:r w:rsidRPr="00ED729F">
        <w:rPr>
          <w:lang w:val="en-GB"/>
        </w:rPr>
        <w:t>31.</w:t>
      </w:r>
      <w:r>
        <w:rPr>
          <w:lang w:val="en-GB"/>
        </w:rPr>
        <w:tab/>
      </w:r>
      <w:r w:rsidRPr="00ED729F">
        <w:rPr>
          <w:lang w:val="en-GB"/>
        </w:rPr>
        <w:t>NGO CCR</w:t>
      </w:r>
    </w:p>
    <w:p w:rsidR="00ED729F" w:rsidRPr="00ED729F" w:rsidRDefault="00ED729F" w:rsidP="00ED729F">
      <w:pPr>
        <w:pStyle w:val="SingleTxtG"/>
        <w:rPr>
          <w:lang w:val="en-GB"/>
        </w:rPr>
      </w:pPr>
      <w:r>
        <w:rPr>
          <w:lang w:val="en-GB"/>
        </w:rPr>
        <w:t>32.</w:t>
      </w:r>
      <w:r>
        <w:rPr>
          <w:lang w:val="en-GB"/>
        </w:rPr>
        <w:tab/>
      </w:r>
      <w:r w:rsidRPr="00ED729F">
        <w:rPr>
          <w:lang w:val="en-GB"/>
        </w:rPr>
        <w:t>Youth and Society</w:t>
      </w:r>
    </w:p>
    <w:p w:rsidR="00446FE5" w:rsidRPr="00770252" w:rsidRDefault="00ED729F" w:rsidP="00ED729F">
      <w:pPr>
        <w:pStyle w:val="SingleTxtG"/>
      </w:pPr>
      <w:r w:rsidRPr="00ED729F">
        <w:rPr>
          <w:lang w:val="en-GB"/>
        </w:rPr>
        <w:t>33.</w:t>
      </w:r>
      <w:r>
        <w:rPr>
          <w:lang w:val="en-GB"/>
        </w:rPr>
        <w:tab/>
      </w:r>
      <w:r w:rsidRPr="00ED729F">
        <w:rPr>
          <w:lang w:val="en-GB"/>
        </w:rPr>
        <w:t>Saccode Trust</w:t>
      </w:r>
    </w:p>
    <w:sectPr w:rsidR="00446FE5" w:rsidRPr="00770252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29F" w:rsidRDefault="00ED729F" w:rsidP="00F95C08"/>
  </w:endnote>
  <w:endnote w:type="continuationSeparator" w:id="0">
    <w:p w:rsidR="00ED729F" w:rsidRPr="00AC3823" w:rsidRDefault="00ED729F" w:rsidP="00AC3823">
      <w:pPr>
        <w:pStyle w:val="Footer"/>
      </w:pPr>
    </w:p>
  </w:endnote>
  <w:endnote w:type="continuationNotice" w:id="1">
    <w:p w:rsidR="00ED729F" w:rsidRDefault="00ED72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29F" w:rsidRPr="00AC3823" w:rsidRDefault="00ED729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D729F" w:rsidRPr="00AC3823" w:rsidRDefault="00ED729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D729F" w:rsidRPr="00AC3823" w:rsidRDefault="00ED729F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9F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D4179"/>
    <w:rsid w:val="008F2A1D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ED72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04928"/>
  <w15:chartTrackingRefBased/>
  <w15:docId w15:val="{A33FBAA9-A655-499C-AF68-512A497F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CH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29F"/>
    <w:pPr>
      <w:spacing w:after="16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357C84A8A6A439E605EB3EB56852B" ma:contentTypeVersion="2" ma:contentTypeDescription="Create a new document." ma:contentTypeScope="" ma:versionID="36d8ea15f10b705098e850999fdfee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1C4700-4376-4ACB-AF53-EBB05DEB4CAD}"/>
</file>

<file path=customXml/itemProps2.xml><?xml version="1.0" encoding="utf-8"?>
<ds:datastoreItem xmlns:ds="http://schemas.openxmlformats.org/officeDocument/2006/customXml" ds:itemID="{627A97EC-D8FF-4A35-8FB3-32F03B86225D}"/>
</file>

<file path=customXml/itemProps3.xml><?xml version="1.0" encoding="utf-8"?>
<ds:datastoreItem xmlns:ds="http://schemas.openxmlformats.org/officeDocument/2006/customXml" ds:itemID="{22E8BCD7-BC37-42F7-BFEE-69E27AA599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1066</Characters>
  <Application>Microsoft Office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IHARA Sumiko</dc:creator>
  <cp:keywords/>
  <dc:description/>
  <cp:lastModifiedBy>IHARA Sumiko</cp:lastModifiedBy>
  <cp:revision>2</cp:revision>
  <cp:lastPrinted>2014-05-14T10:59:00Z</cp:lastPrinted>
  <dcterms:created xsi:type="dcterms:W3CDTF">2020-02-13T16:17:00Z</dcterms:created>
  <dcterms:modified xsi:type="dcterms:W3CDTF">2020-02-13T16:20:00Z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0x010100A16357C84A8A6A439E605EB3EB56852B</vt:lpwstr>
  </property>
  <property fmtid="{D5CDD505-2E9C-101B-9397-08002B2CF9AE}" pid="3" name="Order">
    <vt:r8>1481600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