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13B11001" w14:textId="77777777" w:rsidTr="00281242">
        <w:trPr>
          <w:trHeight w:hRule="exact" w:val="851"/>
        </w:trPr>
        <w:tc>
          <w:tcPr>
            <w:tcW w:w="1274" w:type="dxa"/>
            <w:tcBorders>
              <w:bottom w:val="single" w:sz="4" w:space="0" w:color="auto"/>
            </w:tcBorders>
            <w:shd w:val="clear" w:color="auto" w:fill="auto"/>
          </w:tcPr>
          <w:p w14:paraId="15D5F42E" w14:textId="77777777" w:rsidR="006B3E27" w:rsidRPr="00BE5849" w:rsidRDefault="006B3E27" w:rsidP="009736BB">
            <w:pPr>
              <w:kinsoku w:val="0"/>
              <w:overflowPunct w:val="0"/>
              <w:autoSpaceDE w:val="0"/>
              <w:autoSpaceDN w:val="0"/>
              <w:adjustRightInd w:val="0"/>
              <w:snapToGrid w:val="0"/>
              <w:spacing w:after="80" w:line="480" w:lineRule="exact"/>
              <w:rPr>
                <w:rFonts w:hint="cs"/>
                <w:sz w:val="40"/>
                <w:szCs w:val="40"/>
                <w:rtl/>
                <w:lang w:eastAsia="zh-TW"/>
              </w:rPr>
            </w:pPr>
            <w:bookmarkStart w:id="0" w:name="_Hlk62896384"/>
          </w:p>
        </w:tc>
        <w:tc>
          <w:tcPr>
            <w:tcW w:w="4963" w:type="dxa"/>
            <w:tcBorders>
              <w:bottom w:val="single" w:sz="4" w:space="0" w:color="auto"/>
            </w:tcBorders>
            <w:shd w:val="clear" w:color="auto" w:fill="auto"/>
            <w:vAlign w:val="bottom"/>
          </w:tcPr>
          <w:p w14:paraId="4C0540AF"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008F475B" w14:textId="47E18286" w:rsidR="006B3E27" w:rsidRPr="00E86D80" w:rsidRDefault="00E86D80" w:rsidP="00E86D80">
            <w:pPr>
              <w:bidi w:val="0"/>
              <w:rPr>
                <w:szCs w:val="20"/>
                <w:lang w:eastAsia="zh-TW"/>
              </w:rPr>
            </w:pPr>
            <w:r w:rsidRPr="00E86D80">
              <w:rPr>
                <w:sz w:val="40"/>
                <w:szCs w:val="20"/>
                <w:lang w:eastAsia="zh-TW"/>
              </w:rPr>
              <w:t>A</w:t>
            </w:r>
            <w:r>
              <w:rPr>
                <w:szCs w:val="20"/>
                <w:lang w:eastAsia="zh-TW"/>
              </w:rPr>
              <w:t>/HRC/WG.</w:t>
            </w:r>
            <w:r w:rsidRPr="00E841A5">
              <w:rPr>
                <w:szCs w:val="20"/>
                <w:lang w:eastAsia="zh-TW"/>
              </w:rPr>
              <w:t>6</w:t>
            </w:r>
            <w:r>
              <w:rPr>
                <w:szCs w:val="20"/>
                <w:lang w:eastAsia="zh-TW"/>
              </w:rPr>
              <w:t>/</w:t>
            </w:r>
            <w:r w:rsidRPr="00E841A5">
              <w:rPr>
                <w:szCs w:val="20"/>
                <w:lang w:eastAsia="zh-TW"/>
              </w:rPr>
              <w:t>39</w:t>
            </w:r>
            <w:r>
              <w:rPr>
                <w:szCs w:val="20"/>
                <w:lang w:eastAsia="zh-TW"/>
              </w:rPr>
              <w:t>/SUR/</w:t>
            </w:r>
            <w:r w:rsidRPr="00E841A5">
              <w:rPr>
                <w:szCs w:val="20"/>
                <w:lang w:eastAsia="zh-TW"/>
              </w:rPr>
              <w:t>2</w:t>
            </w:r>
          </w:p>
        </w:tc>
      </w:tr>
      <w:tr w:rsidR="006B3E27" w:rsidRPr="00AC03B4" w14:paraId="56427074" w14:textId="77777777" w:rsidTr="00281242">
        <w:trPr>
          <w:trHeight w:hRule="exact" w:val="2835"/>
        </w:trPr>
        <w:tc>
          <w:tcPr>
            <w:tcW w:w="1274" w:type="dxa"/>
            <w:tcBorders>
              <w:top w:val="single" w:sz="4" w:space="0" w:color="auto"/>
              <w:bottom w:val="single" w:sz="12" w:space="0" w:color="auto"/>
            </w:tcBorders>
            <w:shd w:val="clear" w:color="auto" w:fill="auto"/>
          </w:tcPr>
          <w:p w14:paraId="0ABFB4B5"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64F46AE0" wp14:editId="0FB50A4A">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77844786" w14:textId="77777777" w:rsidR="006B3E27" w:rsidRPr="00E841A5" w:rsidRDefault="001773DB" w:rsidP="002F3D3A">
            <w:pPr>
              <w:spacing w:before="120" w:after="40" w:line="640" w:lineRule="exact"/>
              <w:ind w:left="57"/>
              <w:rPr>
                <w:b/>
                <w:bCs/>
                <w:sz w:val="50"/>
                <w:szCs w:val="50"/>
              </w:rPr>
            </w:pPr>
            <w:r w:rsidRPr="00E841A5">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37F880CC" w14:textId="77777777" w:rsidR="006B3E27" w:rsidRDefault="00E86D80" w:rsidP="00BE5849">
            <w:pPr>
              <w:bidi w:val="0"/>
              <w:spacing w:before="240"/>
              <w:rPr>
                <w:szCs w:val="20"/>
              </w:rPr>
            </w:pPr>
            <w:r>
              <w:rPr>
                <w:szCs w:val="20"/>
              </w:rPr>
              <w:t>Distr.: General</w:t>
            </w:r>
          </w:p>
          <w:p w14:paraId="40CC36D6" w14:textId="6BE90DD8" w:rsidR="00E86D80" w:rsidRDefault="00861BA0" w:rsidP="00E86D80">
            <w:pPr>
              <w:bidi w:val="0"/>
              <w:spacing w:line="240" w:lineRule="exact"/>
              <w:jc w:val="left"/>
              <w:rPr>
                <w:szCs w:val="20"/>
              </w:rPr>
            </w:pPr>
            <w:r w:rsidRPr="00E841A5">
              <w:rPr>
                <w:szCs w:val="20"/>
              </w:rPr>
              <w:t>12</w:t>
            </w:r>
            <w:r w:rsidRPr="00337201">
              <w:rPr>
                <w:szCs w:val="20"/>
              </w:rPr>
              <w:t xml:space="preserve"> August </w:t>
            </w:r>
            <w:r w:rsidR="00E86D80" w:rsidRPr="00E841A5">
              <w:rPr>
                <w:szCs w:val="20"/>
              </w:rPr>
              <w:t>2021</w:t>
            </w:r>
          </w:p>
          <w:p w14:paraId="25AE44D6" w14:textId="77777777" w:rsidR="00E86D80" w:rsidRDefault="00E86D80" w:rsidP="00E86D80">
            <w:pPr>
              <w:bidi w:val="0"/>
              <w:spacing w:line="240" w:lineRule="exact"/>
              <w:jc w:val="left"/>
              <w:rPr>
                <w:szCs w:val="20"/>
              </w:rPr>
            </w:pPr>
            <w:r>
              <w:rPr>
                <w:szCs w:val="20"/>
              </w:rPr>
              <w:t>Arabic</w:t>
            </w:r>
          </w:p>
          <w:p w14:paraId="28B8D7FB" w14:textId="1A5EC25A" w:rsidR="00E86D80" w:rsidRPr="00E86D80" w:rsidRDefault="00E86D80" w:rsidP="00E86D80">
            <w:pPr>
              <w:bidi w:val="0"/>
              <w:spacing w:line="240" w:lineRule="exact"/>
              <w:jc w:val="left"/>
              <w:rPr>
                <w:szCs w:val="20"/>
              </w:rPr>
            </w:pPr>
            <w:r>
              <w:rPr>
                <w:szCs w:val="20"/>
              </w:rPr>
              <w:t>Original: English</w:t>
            </w:r>
          </w:p>
        </w:tc>
      </w:tr>
    </w:tbl>
    <w:bookmarkEnd w:id="0"/>
    <w:p w14:paraId="4DE0FBCA" w14:textId="77777777" w:rsidR="00BE5849" w:rsidRPr="00E841A5" w:rsidRDefault="00F3032E" w:rsidP="00056D32">
      <w:pPr>
        <w:pStyle w:val="SingleTxtGA"/>
        <w:spacing w:before="120" w:after="0"/>
        <w:ind w:left="0" w:right="4252"/>
        <w:jc w:val="left"/>
        <w:rPr>
          <w:b/>
          <w:bCs/>
          <w:sz w:val="26"/>
          <w:szCs w:val="26"/>
          <w:rtl/>
          <w:lang w:eastAsia="zh-TW"/>
        </w:rPr>
      </w:pPr>
      <w:r w:rsidRPr="00E841A5">
        <w:rPr>
          <w:rFonts w:hint="cs"/>
          <w:b/>
          <w:bCs/>
          <w:sz w:val="26"/>
          <w:szCs w:val="26"/>
          <w:rtl/>
          <w:lang w:eastAsia="zh-TW"/>
        </w:rPr>
        <w:t>مجلس حقوق الإنسان</w:t>
      </w:r>
    </w:p>
    <w:p w14:paraId="740236D6" w14:textId="77777777" w:rsidR="00056D32" w:rsidRPr="00E841A5" w:rsidRDefault="00056D32" w:rsidP="00056D32">
      <w:pPr>
        <w:spacing w:line="360" w:lineRule="exact"/>
        <w:textDirection w:val="tbRlV"/>
        <w:rPr>
          <w:b/>
          <w:szCs w:val="20"/>
          <w:lang w:val="ar-SA" w:eastAsia="zh-TW" w:bidi="en-GB"/>
        </w:rPr>
      </w:pPr>
      <w:r w:rsidRPr="00E841A5">
        <w:rPr>
          <w:b/>
          <w:bCs/>
          <w:rtl/>
        </w:rPr>
        <w:t>الفريق العامل المعني بالاستعراض الدوري الشامل</w:t>
      </w:r>
    </w:p>
    <w:p w14:paraId="13FE9C9E" w14:textId="77777777" w:rsidR="00056D32" w:rsidRPr="00696A30" w:rsidRDefault="00056D32" w:rsidP="00056D32">
      <w:pPr>
        <w:spacing w:line="360" w:lineRule="exact"/>
        <w:textDirection w:val="tbRlV"/>
        <w:rPr>
          <w:rFonts w:eastAsiaTheme="minorEastAsia"/>
          <w:szCs w:val="20"/>
          <w:lang w:val="ar-SA" w:eastAsia="zh-TW" w:bidi="en-GB"/>
        </w:rPr>
      </w:pPr>
      <w:r w:rsidRPr="00E841A5">
        <w:rPr>
          <w:rFonts w:eastAsiaTheme="minorEastAsia"/>
          <w:b/>
          <w:bCs/>
          <w:rtl/>
        </w:rPr>
        <w:t>الدورة التاسعة والثلاثون</w:t>
      </w:r>
    </w:p>
    <w:p w14:paraId="29CB0A07" w14:textId="03AF7DAC" w:rsidR="00056D32" w:rsidRPr="00696A30" w:rsidRDefault="00861BA0" w:rsidP="00056D32">
      <w:pPr>
        <w:spacing w:line="360" w:lineRule="exact"/>
        <w:textDirection w:val="tbRlV"/>
        <w:rPr>
          <w:rFonts w:eastAsiaTheme="minorEastAsia"/>
          <w:szCs w:val="20"/>
          <w:lang w:val="ar-SA" w:eastAsia="zh-TW" w:bidi="en-GB"/>
        </w:rPr>
      </w:pPr>
      <w:r w:rsidRPr="00E841A5">
        <w:rPr>
          <w:rFonts w:eastAsiaTheme="minorEastAsia" w:hint="cs"/>
          <w:szCs w:val="20"/>
          <w:rtl/>
        </w:rPr>
        <w:t>1</w:t>
      </w:r>
      <w:r w:rsidRPr="00696A30">
        <w:rPr>
          <w:rFonts w:eastAsiaTheme="minorEastAsia" w:hint="cs"/>
          <w:szCs w:val="20"/>
          <w:rtl/>
        </w:rPr>
        <w:t>-</w:t>
      </w:r>
      <w:r w:rsidRPr="00E841A5">
        <w:rPr>
          <w:rFonts w:eastAsiaTheme="minorEastAsia" w:hint="cs"/>
          <w:szCs w:val="20"/>
          <w:rtl/>
        </w:rPr>
        <w:t>12</w:t>
      </w:r>
      <w:r w:rsidRPr="00696A30">
        <w:rPr>
          <w:rFonts w:eastAsiaTheme="minorEastAsia" w:hint="cs"/>
          <w:szCs w:val="20"/>
          <w:rtl/>
        </w:rPr>
        <w:t xml:space="preserve"> </w:t>
      </w:r>
      <w:r w:rsidR="00056D32" w:rsidRPr="00696A30">
        <w:rPr>
          <w:rFonts w:eastAsiaTheme="minorEastAsia"/>
          <w:rtl/>
        </w:rPr>
        <w:t xml:space="preserve">تشرين الثاني/نوفمبر </w:t>
      </w:r>
      <w:r w:rsidR="00056D32" w:rsidRPr="00E841A5">
        <w:rPr>
          <w:rFonts w:eastAsiaTheme="minorEastAsia"/>
          <w:szCs w:val="20"/>
          <w:rtl/>
        </w:rPr>
        <w:t>2021</w:t>
      </w:r>
    </w:p>
    <w:p w14:paraId="6D4C83F5" w14:textId="77777777" w:rsidR="00056D32" w:rsidRPr="00E841A5" w:rsidRDefault="00056D32" w:rsidP="00056D32">
      <w:pPr>
        <w:pStyle w:val="HChGA"/>
        <w:rPr>
          <w:szCs w:val="20"/>
          <w:lang w:val="en-US" w:eastAsia="zh-TW" w:bidi="en-GB"/>
        </w:rPr>
      </w:pPr>
      <w:r w:rsidRPr="00E841A5">
        <w:rPr>
          <w:rtl/>
        </w:rPr>
        <w:tab/>
      </w:r>
      <w:r w:rsidRPr="00E841A5">
        <w:rPr>
          <w:rtl/>
        </w:rPr>
        <w:tab/>
        <w:t>تجميع بشأن سورينام</w:t>
      </w:r>
    </w:p>
    <w:p w14:paraId="2B6F50E8" w14:textId="48E589E8" w:rsidR="00056D32" w:rsidRPr="00E841A5" w:rsidRDefault="00056D32" w:rsidP="00056D32">
      <w:pPr>
        <w:pStyle w:val="H1GA"/>
        <w:rPr>
          <w:szCs w:val="20"/>
          <w:lang w:val="en-US" w:eastAsia="zh-TW" w:bidi="en-GB"/>
        </w:rPr>
      </w:pPr>
      <w:r w:rsidRPr="00E841A5">
        <w:rPr>
          <w:rtl/>
        </w:rPr>
        <w:tab/>
      </w:r>
      <w:r w:rsidRPr="00E841A5">
        <w:rPr>
          <w:rtl/>
        </w:rPr>
        <w:tab/>
        <w:t>تقرير مفوضية الأمم المتحدة السامية لحقوق الإنسان</w:t>
      </w:r>
    </w:p>
    <w:p w14:paraId="687F9458" w14:textId="1298EFEE" w:rsidR="00056D32" w:rsidRPr="00E841A5" w:rsidRDefault="002814B5" w:rsidP="00056D32">
      <w:pPr>
        <w:pStyle w:val="HChGA"/>
        <w:rPr>
          <w:szCs w:val="20"/>
          <w:lang w:val="en-US" w:eastAsia="zh-TW" w:bidi="en-GB"/>
        </w:rPr>
      </w:pPr>
      <w:r w:rsidRPr="00E841A5">
        <w:rPr>
          <w:rtl/>
        </w:rPr>
        <w:tab/>
      </w:r>
      <w:r w:rsidR="00056D32" w:rsidRPr="00E841A5">
        <w:rPr>
          <w:rtl/>
        </w:rPr>
        <w:t>أولا</w:t>
      </w:r>
      <w:r w:rsidRPr="00E841A5">
        <w:rPr>
          <w:rFonts w:hint="cs"/>
          <w:rtl/>
        </w:rPr>
        <w:t>ً</w:t>
      </w:r>
      <w:r w:rsidR="00056D32" w:rsidRPr="00E841A5">
        <w:rPr>
          <w:rtl/>
        </w:rPr>
        <w:t>-</w:t>
      </w:r>
      <w:r w:rsidR="00056D32" w:rsidRPr="00E841A5">
        <w:rPr>
          <w:rtl/>
        </w:rPr>
        <w:tab/>
        <w:t>معلومات أساسية</w:t>
      </w:r>
    </w:p>
    <w:p w14:paraId="016AD96D" w14:textId="07725F30"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1</w:t>
      </w:r>
      <w:r w:rsidRPr="00696A30">
        <w:rPr>
          <w:rFonts w:eastAsiaTheme="minorEastAsia"/>
          <w:szCs w:val="20"/>
          <w:rtl/>
        </w:rPr>
        <w:t>-</w:t>
      </w:r>
      <w:r w:rsidRPr="00696A30">
        <w:rPr>
          <w:rFonts w:eastAsiaTheme="minorEastAsia"/>
          <w:rtl/>
        </w:rPr>
        <w:tab/>
        <w:t xml:space="preserve">أُعدّ </w:t>
      </w:r>
      <w:r w:rsidR="005304E3" w:rsidRPr="00696A30">
        <w:rPr>
          <w:rFonts w:eastAsiaTheme="minorEastAsia" w:hint="cs"/>
          <w:rtl/>
        </w:rPr>
        <w:t>هذا</w:t>
      </w:r>
      <w:r w:rsidRPr="00696A30">
        <w:rPr>
          <w:rFonts w:eastAsiaTheme="minorEastAsia"/>
          <w:rtl/>
        </w:rPr>
        <w:t xml:space="preserve"> التقرير عملاً بقراري مجلس حقوق الإنسان </w:t>
      </w:r>
      <w:r w:rsidR="00861BA0" w:rsidRPr="00E841A5">
        <w:rPr>
          <w:rFonts w:eastAsiaTheme="minorEastAsia"/>
          <w:szCs w:val="20"/>
          <w:rtl/>
        </w:rPr>
        <w:t>5</w:t>
      </w:r>
      <w:r w:rsidR="00861BA0" w:rsidRPr="00696A30">
        <w:rPr>
          <w:rFonts w:eastAsiaTheme="minorEastAsia"/>
          <w:szCs w:val="20"/>
          <w:rtl/>
        </w:rPr>
        <w:t>/</w:t>
      </w:r>
      <w:r w:rsidR="00861BA0" w:rsidRPr="00E841A5">
        <w:rPr>
          <w:rFonts w:eastAsiaTheme="minorEastAsia"/>
          <w:szCs w:val="20"/>
          <w:rtl/>
        </w:rPr>
        <w:t>1</w:t>
      </w:r>
      <w:r w:rsidRPr="00696A30">
        <w:rPr>
          <w:rFonts w:eastAsiaTheme="minorEastAsia"/>
          <w:rtl/>
        </w:rPr>
        <w:t xml:space="preserve"> و</w:t>
      </w:r>
      <w:r w:rsidR="00861BA0" w:rsidRPr="00E841A5">
        <w:rPr>
          <w:rFonts w:eastAsiaTheme="minorEastAsia"/>
          <w:szCs w:val="20"/>
          <w:rtl/>
        </w:rPr>
        <w:t>16</w:t>
      </w:r>
      <w:r w:rsidR="00861BA0" w:rsidRPr="00696A30">
        <w:rPr>
          <w:rFonts w:eastAsiaTheme="minorEastAsia"/>
          <w:szCs w:val="20"/>
          <w:rtl/>
        </w:rPr>
        <w:t>/</w:t>
      </w:r>
      <w:r w:rsidR="00861BA0" w:rsidRPr="00E841A5">
        <w:rPr>
          <w:rFonts w:eastAsiaTheme="minorEastAsia"/>
          <w:szCs w:val="20"/>
          <w:rtl/>
        </w:rPr>
        <w:t>21</w:t>
      </w:r>
      <w:r w:rsidRPr="00696A30">
        <w:rPr>
          <w:rFonts w:eastAsiaTheme="minorEastAsia"/>
          <w:rtl/>
        </w:rPr>
        <w:t>، مع مراعاة دورية الاستعراض الدوري الشامل. والتقرير تجميع للمعلومات الواردة في تقارير هيئات المعاهدات والإجراءات الخاصة وغيرها من وثائق الأمم المتحدة ذات الصلة، و</w:t>
      </w:r>
      <w:r w:rsidR="0065748D" w:rsidRPr="00696A30">
        <w:rPr>
          <w:rFonts w:eastAsiaTheme="minorEastAsia" w:hint="cs"/>
          <w:rtl/>
        </w:rPr>
        <w:t>ه</w:t>
      </w:r>
      <w:r w:rsidRPr="00696A30">
        <w:rPr>
          <w:rFonts w:eastAsiaTheme="minorEastAsia"/>
          <w:rtl/>
        </w:rPr>
        <w:t>و مقدّم في شكل موجز تقيّداً بالحدّ الأقصى لعدد الكلمات.</w:t>
      </w:r>
    </w:p>
    <w:p w14:paraId="7B23DBD2" w14:textId="576437EE" w:rsidR="00056D32" w:rsidRPr="00E841A5" w:rsidRDefault="00056D32" w:rsidP="00056D32">
      <w:pPr>
        <w:pStyle w:val="HChGA"/>
        <w:rPr>
          <w:rFonts w:eastAsiaTheme="minorEastAsia"/>
          <w:b w:val="0"/>
          <w:sz w:val="22"/>
          <w:szCs w:val="22"/>
          <w:vertAlign w:val="superscript"/>
          <w:lang w:val="en-US" w:eastAsia="zh-TW" w:bidi="en-GB"/>
        </w:rPr>
      </w:pPr>
      <w:r w:rsidRPr="00E841A5">
        <w:rPr>
          <w:rFonts w:eastAsiaTheme="minorEastAsia"/>
          <w:rtl/>
        </w:rPr>
        <w:tab/>
        <w:t>ثانيا</w:t>
      </w:r>
      <w:r w:rsidRPr="00E841A5">
        <w:rPr>
          <w:rFonts w:eastAsiaTheme="minorEastAsia" w:hint="cs"/>
          <w:rtl/>
        </w:rPr>
        <w:t>ً</w:t>
      </w:r>
      <w:r w:rsidRPr="00E841A5">
        <w:rPr>
          <w:rFonts w:eastAsiaTheme="minorEastAsia"/>
          <w:rtl/>
        </w:rPr>
        <w:t>-</w:t>
      </w:r>
      <w:r w:rsidRPr="00E841A5">
        <w:rPr>
          <w:rFonts w:eastAsiaTheme="minorEastAsia"/>
          <w:rtl/>
        </w:rPr>
        <w:tab/>
        <w:t>نطاق الالتزامات الدولية والتعاون مع الآليات والهيئات الدولية لحقوق</w:t>
      </w:r>
      <w:r w:rsidR="002814B5" w:rsidRPr="00E841A5">
        <w:rPr>
          <w:rFonts w:eastAsiaTheme="minorEastAsia" w:hint="cs"/>
          <w:rtl/>
        </w:rPr>
        <w:t> </w:t>
      </w:r>
      <w:proofErr w:type="gramStart"/>
      <w:r w:rsidRPr="00E841A5">
        <w:rPr>
          <w:rFonts w:eastAsiaTheme="minorEastAsia"/>
          <w:rtl/>
        </w:rPr>
        <w:t>الإنسان</w:t>
      </w:r>
      <w:r w:rsidR="007532BE" w:rsidRPr="00E841A5">
        <w:rPr>
          <w:rFonts w:eastAsiaTheme="minorEastAsia" w:hint="cs"/>
          <w:sz w:val="22"/>
          <w:szCs w:val="22"/>
          <w:vertAlign w:val="superscript"/>
          <w:rtl/>
        </w:rPr>
        <w:t>(</w:t>
      </w:r>
      <w:proofErr w:type="gramEnd"/>
      <w:r w:rsidR="007532BE" w:rsidRPr="00E841A5">
        <w:rPr>
          <w:rStyle w:val="EndnoteReference"/>
          <w:rFonts w:eastAsiaTheme="minorEastAsia"/>
          <w:b w:val="0"/>
          <w:sz w:val="22"/>
          <w:szCs w:val="22"/>
          <w:lang w:val="en-US"/>
        </w:rPr>
        <w:endnoteReference w:id="2"/>
      </w:r>
      <w:r w:rsidR="007532BE" w:rsidRPr="00E841A5">
        <w:rPr>
          <w:rFonts w:eastAsiaTheme="minorEastAsia" w:hint="cs"/>
          <w:bCs w:val="0"/>
          <w:sz w:val="22"/>
          <w:szCs w:val="22"/>
          <w:vertAlign w:val="superscript"/>
          <w:rtl/>
        </w:rPr>
        <w:t>)</w:t>
      </w:r>
      <w:r w:rsidR="007532BE" w:rsidRPr="00E841A5">
        <w:rPr>
          <w:rStyle w:val="EndnoteReference"/>
          <w:rFonts w:eastAsiaTheme="minorEastAsia"/>
          <w:bCs w:val="0"/>
          <w:sz w:val="22"/>
          <w:szCs w:val="22"/>
          <w:rtl/>
        </w:rPr>
        <w:t xml:space="preserve"> </w:t>
      </w:r>
      <w:r w:rsidRPr="00E841A5">
        <w:rPr>
          <w:rStyle w:val="EndnoteReference"/>
          <w:rFonts w:eastAsiaTheme="minorEastAsia"/>
          <w:bCs w:val="0"/>
          <w:sz w:val="22"/>
          <w:szCs w:val="22"/>
          <w:rtl/>
        </w:rPr>
        <w:t>(</w:t>
      </w:r>
      <w:r w:rsidRPr="00E841A5">
        <w:rPr>
          <w:rStyle w:val="EndnoteReference"/>
          <w:rFonts w:eastAsiaTheme="minorEastAsia"/>
          <w:b w:val="0"/>
          <w:sz w:val="22"/>
          <w:szCs w:val="22"/>
          <w:lang w:val="en-US"/>
        </w:rPr>
        <w:endnoteReference w:id="3"/>
      </w:r>
      <w:r w:rsidR="00337201" w:rsidRPr="00E841A5">
        <w:rPr>
          <w:rStyle w:val="EndnoteReference"/>
          <w:rFonts w:eastAsiaTheme="minorEastAsia" w:hint="cs"/>
          <w:bCs w:val="0"/>
          <w:sz w:val="22"/>
          <w:szCs w:val="22"/>
          <w:rtl/>
        </w:rPr>
        <w:t>)</w:t>
      </w:r>
    </w:p>
    <w:p w14:paraId="29B51475" w14:textId="16582942"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2</w:t>
      </w:r>
      <w:r w:rsidRPr="00696A30">
        <w:rPr>
          <w:rFonts w:eastAsiaTheme="minorEastAsia"/>
          <w:szCs w:val="20"/>
          <w:rtl/>
        </w:rPr>
        <w:t>-</w:t>
      </w:r>
      <w:r w:rsidRPr="00696A30">
        <w:rPr>
          <w:rFonts w:eastAsiaTheme="minorEastAsia"/>
          <w:rtl/>
        </w:rPr>
        <w:tab/>
        <w:t xml:space="preserve">أوصى فريق الأمم المتحدة القطري لسورينام بأن تصدق الحكومة على اتفاقية مناهضة التعذيب وغيره من ضروب المعاملة أو العقوبة القاسية أو اللاإنسانية أو المهينة، والاتفاقية الدولية لحماية حقوق جميع العمال المهاجرين وأفراد أسرهم، والاتفاقية الدولية لحماية جميع الأشخاص من الاختفاء القسري، </w:t>
      </w:r>
      <w:r w:rsidRPr="00DE1336">
        <w:rPr>
          <w:rFonts w:eastAsiaTheme="minorEastAsia"/>
          <w:spacing w:val="-4"/>
          <w:rtl/>
        </w:rPr>
        <w:t>والبروتوكول الاختياري الملحق بالعهد الدولي الخاص بالحقوق الاقتصادية والاجتماعية والثقافية، البروتوكول</w:t>
      </w:r>
      <w:r w:rsidRPr="00696A30">
        <w:rPr>
          <w:rFonts w:eastAsiaTheme="minorEastAsia"/>
          <w:rtl/>
        </w:rPr>
        <w:t xml:space="preserve"> الاختياري لاتفاقية القضاء على جميع أشكال التمييز ضد المرأة، والبروتوكول الاختياري لاتفاقية حقوق الأشخاص ذوي الإعا</w:t>
      </w:r>
      <w:r w:rsidR="00C55683">
        <w:rPr>
          <w:rFonts w:eastAsiaTheme="minorEastAsia" w:hint="cs"/>
          <w:rtl/>
        </w:rPr>
        <w:t>قة</w:t>
      </w:r>
      <w:r w:rsidRPr="00696A30">
        <w:rPr>
          <w:rFonts w:eastAsiaTheme="minorEastAsia"/>
          <w:vertAlign w:val="superscript"/>
          <w:rtl/>
        </w:rPr>
        <w:t>(</w:t>
      </w:r>
      <w:r w:rsidRPr="00E841A5">
        <w:rPr>
          <w:rStyle w:val="EndnoteReference"/>
          <w:rFonts w:eastAsiaTheme="minorEastAsia"/>
          <w:lang w:val="en-US"/>
        </w:rPr>
        <w:endnoteReference w:id="4"/>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22DE939D" w14:textId="60E88E76" w:rsidR="00056D32" w:rsidRPr="00696A30" w:rsidRDefault="00056D32" w:rsidP="00056D32">
      <w:pPr>
        <w:pStyle w:val="SingleTxtGA"/>
        <w:rPr>
          <w:rFonts w:eastAsiaTheme="minorEastAsia"/>
          <w:szCs w:val="20"/>
          <w:lang w:val="en-US" w:eastAsia="zh-TW" w:bidi="en-GB"/>
        </w:rPr>
      </w:pPr>
      <w:r w:rsidRPr="00E841A5">
        <w:rPr>
          <w:rFonts w:eastAsiaTheme="minorEastAsia"/>
          <w:szCs w:val="20"/>
          <w:rtl/>
        </w:rPr>
        <w:t>3</w:t>
      </w:r>
      <w:r w:rsidRPr="00696A30">
        <w:rPr>
          <w:rFonts w:eastAsiaTheme="minorEastAsia"/>
          <w:szCs w:val="20"/>
          <w:rtl/>
        </w:rPr>
        <w:t>-</w:t>
      </w:r>
      <w:r w:rsidRPr="00696A30">
        <w:rPr>
          <w:rFonts w:eastAsiaTheme="minorEastAsia"/>
          <w:rtl/>
        </w:rPr>
        <w:tab/>
        <w:t xml:space="preserve">وأوصت لجنة حقوق الطفل بأن تصدق الدولة على البروتوكول الاختياري لاتفاقية حقوق الطفل المتعلق بإجراء تقديم </w:t>
      </w:r>
      <w:proofErr w:type="gramStart"/>
      <w:r w:rsidRPr="00696A30">
        <w:rPr>
          <w:rFonts w:eastAsiaTheme="minorEastAsia"/>
          <w:rtl/>
        </w:rPr>
        <w:t>البلاغات</w:t>
      </w:r>
      <w:r w:rsidRPr="00696A30">
        <w:rPr>
          <w:rFonts w:eastAsiaTheme="minorEastAsia"/>
          <w:vertAlign w:val="superscript"/>
          <w:rtl/>
        </w:rPr>
        <w:t>(</w:t>
      </w:r>
      <w:proofErr w:type="gramEnd"/>
      <w:r w:rsidRPr="00E841A5">
        <w:rPr>
          <w:rStyle w:val="EndnoteReference"/>
          <w:rFonts w:eastAsiaTheme="minorEastAsia"/>
          <w:lang w:val="en-US"/>
        </w:rPr>
        <w:endnoteReference w:id="5"/>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4FD1AFF9" w14:textId="48442DA1"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4</w:t>
      </w:r>
      <w:r w:rsidRPr="00696A30">
        <w:rPr>
          <w:rFonts w:eastAsiaTheme="minorEastAsia"/>
          <w:szCs w:val="20"/>
          <w:rtl/>
        </w:rPr>
        <w:t>-</w:t>
      </w:r>
      <w:r w:rsidRPr="00696A30">
        <w:rPr>
          <w:rFonts w:eastAsiaTheme="minorEastAsia"/>
          <w:rtl/>
        </w:rPr>
        <w:tab/>
        <w:t xml:space="preserve">وأوصت اللجنة المعنية بالقضاء على التمييز ضد المرأة‏‏ بأن تصدق الدولة على اتفاقية الشعوب الأصلية والقبلية لعام </w:t>
      </w:r>
      <w:r w:rsidRPr="00E841A5">
        <w:rPr>
          <w:rFonts w:eastAsiaTheme="minorEastAsia"/>
          <w:szCs w:val="20"/>
          <w:rtl/>
        </w:rPr>
        <w:t>1989</w:t>
      </w:r>
      <w:r w:rsidRPr="00696A30">
        <w:rPr>
          <w:rFonts w:eastAsiaTheme="minorEastAsia"/>
          <w:szCs w:val="20"/>
          <w:rtl/>
        </w:rPr>
        <w:t xml:space="preserve"> (</w:t>
      </w:r>
      <w:r w:rsidRPr="00696A30">
        <w:rPr>
          <w:rFonts w:eastAsiaTheme="minorEastAsia"/>
          <w:rtl/>
        </w:rPr>
        <w:t xml:space="preserve">رقم </w:t>
      </w:r>
      <w:r w:rsidRPr="00E841A5">
        <w:rPr>
          <w:rFonts w:eastAsiaTheme="minorEastAsia"/>
          <w:szCs w:val="20"/>
          <w:rtl/>
        </w:rPr>
        <w:t>169</w:t>
      </w:r>
      <w:r w:rsidRPr="00696A30">
        <w:rPr>
          <w:rFonts w:eastAsiaTheme="minorEastAsia"/>
          <w:szCs w:val="20"/>
          <w:rtl/>
        </w:rPr>
        <w:t>)</w:t>
      </w:r>
      <w:r w:rsidRPr="00696A30">
        <w:rPr>
          <w:rFonts w:eastAsiaTheme="minorEastAsia"/>
          <w:rtl/>
        </w:rPr>
        <w:t xml:space="preserve"> لمنظمة العمل الدولية</w:t>
      </w:r>
      <w:r w:rsidRPr="00696A30">
        <w:rPr>
          <w:rStyle w:val="EndnoteReference"/>
          <w:rFonts w:eastAsiaTheme="minorEastAsia"/>
          <w:rtl/>
        </w:rPr>
        <w:t>(</w:t>
      </w:r>
      <w:r w:rsidRPr="00E841A5">
        <w:rPr>
          <w:rStyle w:val="EndnoteReference"/>
          <w:rFonts w:eastAsiaTheme="minorEastAsia"/>
          <w:lang w:val="en-US"/>
        </w:rPr>
        <w:endnoteReference w:id="6"/>
      </w:r>
      <w:r w:rsidRPr="00696A30">
        <w:rPr>
          <w:rStyle w:val="EndnoteReference"/>
          <w:rFonts w:eastAsiaTheme="minorEastAsia"/>
          <w:rtl/>
        </w:rPr>
        <w:t>)</w:t>
      </w:r>
      <w:r w:rsidRPr="00696A30">
        <w:rPr>
          <w:rFonts w:eastAsiaTheme="minorEastAsia"/>
          <w:rtl/>
        </w:rPr>
        <w:t>.</w:t>
      </w:r>
    </w:p>
    <w:p w14:paraId="3A58B74D" w14:textId="14A6214B" w:rsidR="00056D32" w:rsidRPr="00DE1336" w:rsidRDefault="00056D32" w:rsidP="00056D32">
      <w:pPr>
        <w:pStyle w:val="SingleTxtGA"/>
        <w:rPr>
          <w:rFonts w:eastAsiaTheme="minorEastAsia"/>
          <w:spacing w:val="-6"/>
          <w:szCs w:val="20"/>
          <w:lang w:val="ar-SA" w:eastAsia="zh-TW" w:bidi="en-GB"/>
        </w:rPr>
      </w:pPr>
      <w:r w:rsidRPr="00E841A5">
        <w:rPr>
          <w:rFonts w:eastAsiaTheme="minorEastAsia"/>
          <w:spacing w:val="-4"/>
          <w:szCs w:val="20"/>
          <w:rtl/>
        </w:rPr>
        <w:t>5</w:t>
      </w:r>
      <w:r w:rsidRPr="00DE1336">
        <w:rPr>
          <w:rFonts w:eastAsiaTheme="minorEastAsia"/>
          <w:spacing w:val="-4"/>
          <w:szCs w:val="20"/>
          <w:rtl/>
        </w:rPr>
        <w:t>-</w:t>
      </w:r>
      <w:r w:rsidRPr="00DE1336">
        <w:rPr>
          <w:rFonts w:eastAsiaTheme="minorEastAsia"/>
          <w:spacing w:val="-4"/>
          <w:rtl/>
        </w:rPr>
        <w:tab/>
        <w:t xml:space="preserve">وأوصت مفوضية الأمم المتحدة السامية لشؤون اللاجئين الحكومة بالتوقيع والتصديق على اتفاقية </w:t>
      </w:r>
      <w:r w:rsidRPr="00DE1336">
        <w:rPr>
          <w:rFonts w:eastAsiaTheme="minorEastAsia"/>
          <w:spacing w:val="-2"/>
          <w:rtl/>
        </w:rPr>
        <w:t>عام</w:t>
      </w:r>
      <w:r w:rsidRPr="00DE1336">
        <w:rPr>
          <w:rFonts w:eastAsiaTheme="minorEastAsia"/>
          <w:spacing w:val="-6"/>
          <w:rtl/>
        </w:rPr>
        <w:t xml:space="preserve"> </w:t>
      </w:r>
      <w:r w:rsidRPr="00E841A5">
        <w:rPr>
          <w:rFonts w:eastAsiaTheme="minorEastAsia"/>
          <w:spacing w:val="-6"/>
          <w:szCs w:val="20"/>
          <w:rtl/>
        </w:rPr>
        <w:t>1954</w:t>
      </w:r>
      <w:r w:rsidRPr="00DE1336">
        <w:rPr>
          <w:rFonts w:eastAsiaTheme="minorEastAsia"/>
          <w:spacing w:val="-6"/>
          <w:rtl/>
        </w:rPr>
        <w:t xml:space="preserve"> بشأن وضع الأشخاص عديمي الجنسية واتفاقية عام </w:t>
      </w:r>
      <w:r w:rsidRPr="00E841A5">
        <w:rPr>
          <w:rFonts w:eastAsiaTheme="minorEastAsia"/>
          <w:spacing w:val="-6"/>
          <w:szCs w:val="20"/>
          <w:rtl/>
        </w:rPr>
        <w:t>1961</w:t>
      </w:r>
      <w:r w:rsidRPr="00DE1336">
        <w:rPr>
          <w:rFonts w:eastAsiaTheme="minorEastAsia"/>
          <w:spacing w:val="-6"/>
          <w:rtl/>
        </w:rPr>
        <w:t xml:space="preserve"> المتعلقة بخفض حالات انعدام </w:t>
      </w:r>
      <w:proofErr w:type="gramStart"/>
      <w:r w:rsidRPr="00DE1336">
        <w:rPr>
          <w:rFonts w:eastAsiaTheme="minorEastAsia"/>
          <w:spacing w:val="-6"/>
          <w:rtl/>
        </w:rPr>
        <w:t>الجنسية</w:t>
      </w:r>
      <w:r w:rsidRPr="00DE1336">
        <w:rPr>
          <w:rFonts w:eastAsiaTheme="minorEastAsia"/>
          <w:spacing w:val="-6"/>
          <w:vertAlign w:val="superscript"/>
          <w:rtl/>
        </w:rPr>
        <w:t>(</w:t>
      </w:r>
      <w:proofErr w:type="gramEnd"/>
      <w:r w:rsidRPr="00E841A5">
        <w:rPr>
          <w:rStyle w:val="EndnoteReference"/>
          <w:rFonts w:eastAsiaTheme="minorEastAsia"/>
          <w:spacing w:val="-6"/>
          <w:lang w:val="en-US"/>
        </w:rPr>
        <w:endnoteReference w:id="7"/>
      </w:r>
      <w:r w:rsidR="000E5FB0" w:rsidRPr="00DE1336">
        <w:rPr>
          <w:rStyle w:val="EndnoteReference"/>
          <w:rFonts w:eastAsiaTheme="minorEastAsia"/>
          <w:spacing w:val="-6"/>
          <w:rtl/>
        </w:rPr>
        <w:t>)</w:t>
      </w:r>
      <w:r w:rsidR="000E5FB0" w:rsidRPr="00DE1336">
        <w:rPr>
          <w:rStyle w:val="EndnoteReference"/>
          <w:rFonts w:eastAsiaTheme="minorEastAsia"/>
          <w:spacing w:val="-6"/>
          <w:vertAlign w:val="baseline"/>
          <w:rtl/>
        </w:rPr>
        <w:t>.</w:t>
      </w:r>
    </w:p>
    <w:p w14:paraId="787CE8A0" w14:textId="1E84D020" w:rsidR="00056D32" w:rsidRPr="00696A30" w:rsidRDefault="00056D32" w:rsidP="00DE1336">
      <w:pPr>
        <w:pStyle w:val="SingleTxtGA"/>
        <w:spacing w:line="340" w:lineRule="exact"/>
        <w:rPr>
          <w:rFonts w:eastAsiaTheme="minorEastAsia"/>
          <w:szCs w:val="20"/>
          <w:rtl/>
          <w:lang w:val="en-US" w:eastAsia="zh-TW"/>
        </w:rPr>
      </w:pPr>
      <w:r w:rsidRPr="00E841A5">
        <w:rPr>
          <w:rFonts w:eastAsiaTheme="minorEastAsia"/>
          <w:szCs w:val="20"/>
          <w:rtl/>
        </w:rPr>
        <w:lastRenderedPageBreak/>
        <w:t>6</w:t>
      </w:r>
      <w:r w:rsidRPr="00696A30">
        <w:rPr>
          <w:rFonts w:eastAsiaTheme="minorEastAsia"/>
          <w:szCs w:val="20"/>
          <w:rtl/>
        </w:rPr>
        <w:t>-</w:t>
      </w:r>
      <w:r w:rsidRPr="00696A30">
        <w:rPr>
          <w:rFonts w:eastAsiaTheme="minorEastAsia"/>
          <w:rtl/>
        </w:rPr>
        <w:tab/>
        <w:t xml:space="preserve">وحثت لجنة حقوق الطفل الدولة على النظر في التصديق على اتفاقية منظمة العمل الدولية بشأن الحد الأدنى لسن الاستخدام لعام </w:t>
      </w:r>
      <w:r w:rsidRPr="00E841A5">
        <w:rPr>
          <w:rFonts w:eastAsiaTheme="minorEastAsia"/>
          <w:szCs w:val="20"/>
          <w:rtl/>
        </w:rPr>
        <w:t>1973</w:t>
      </w:r>
      <w:r w:rsidRPr="00696A30">
        <w:rPr>
          <w:rFonts w:eastAsiaTheme="minorEastAsia"/>
          <w:szCs w:val="20"/>
          <w:rtl/>
        </w:rPr>
        <w:t xml:space="preserve"> (</w:t>
      </w:r>
      <w:r w:rsidRPr="00696A30">
        <w:rPr>
          <w:rFonts w:eastAsiaTheme="minorEastAsia"/>
          <w:rtl/>
        </w:rPr>
        <w:t xml:space="preserve">رقم </w:t>
      </w:r>
      <w:r w:rsidRPr="00E841A5">
        <w:rPr>
          <w:rFonts w:eastAsiaTheme="minorEastAsia"/>
          <w:szCs w:val="20"/>
          <w:rtl/>
        </w:rPr>
        <w:t>138</w:t>
      </w:r>
      <w:r w:rsidRPr="00696A30">
        <w:rPr>
          <w:rFonts w:eastAsiaTheme="minorEastAsia"/>
          <w:szCs w:val="20"/>
          <w:rtl/>
        </w:rPr>
        <w:t>)</w:t>
      </w:r>
      <w:r w:rsidRPr="00696A30">
        <w:rPr>
          <w:rFonts w:eastAsiaTheme="minorEastAsia"/>
          <w:rtl/>
        </w:rPr>
        <w:t xml:space="preserve"> والتماس المساعدة التقنية في إطار البرنامج الدولي للقضاء على عمل الأطفال التابع لمنظمة العمل الدولية</w:t>
      </w:r>
      <w:r w:rsidRPr="00696A30">
        <w:rPr>
          <w:rStyle w:val="EndnoteReference"/>
          <w:rFonts w:eastAsiaTheme="minorEastAsia"/>
          <w:rtl/>
        </w:rPr>
        <w:t>(</w:t>
      </w:r>
      <w:r w:rsidRPr="00E841A5">
        <w:rPr>
          <w:rStyle w:val="EndnoteReference"/>
          <w:rFonts w:eastAsiaTheme="minorEastAsia"/>
          <w:lang w:val="en-US"/>
        </w:rPr>
        <w:endnoteReference w:id="8"/>
      </w:r>
      <w:r w:rsidRPr="00696A30">
        <w:rPr>
          <w:rStyle w:val="EndnoteReference"/>
          <w:rFonts w:eastAsiaTheme="minorEastAsia"/>
          <w:rtl/>
        </w:rPr>
        <w:t>)</w:t>
      </w:r>
      <w:r w:rsidRPr="00696A30">
        <w:rPr>
          <w:rFonts w:eastAsiaTheme="minorEastAsia"/>
          <w:rtl/>
        </w:rPr>
        <w:t>.</w:t>
      </w:r>
    </w:p>
    <w:p w14:paraId="6AF5324A" w14:textId="5A189EA0" w:rsidR="00056D32" w:rsidRPr="00696A30" w:rsidRDefault="00056D32" w:rsidP="00DE1336">
      <w:pPr>
        <w:pStyle w:val="SingleTxtGA"/>
        <w:spacing w:line="340" w:lineRule="exact"/>
        <w:rPr>
          <w:rFonts w:eastAsiaTheme="minorEastAsia"/>
          <w:szCs w:val="20"/>
          <w:lang w:val="ar-SA" w:eastAsia="zh-TW" w:bidi="en-GB"/>
        </w:rPr>
      </w:pPr>
      <w:r w:rsidRPr="00E841A5">
        <w:rPr>
          <w:rFonts w:eastAsiaTheme="minorEastAsia"/>
          <w:szCs w:val="20"/>
          <w:rtl/>
        </w:rPr>
        <w:t>7</w:t>
      </w:r>
      <w:r w:rsidRPr="00696A30">
        <w:rPr>
          <w:rFonts w:eastAsiaTheme="minorEastAsia"/>
          <w:szCs w:val="20"/>
          <w:rtl/>
        </w:rPr>
        <w:t>-</w:t>
      </w:r>
      <w:r w:rsidRPr="00696A30">
        <w:rPr>
          <w:rFonts w:eastAsiaTheme="minorEastAsia"/>
          <w:rtl/>
        </w:rPr>
        <w:tab/>
        <w:t xml:space="preserve">وكررت لجنة حقوق الطفل توصيتها بأن تنظر الدولة في التصديق على اتفاقية لاهاي بشأن حماية الأطفال والتعاون في مجال التبني على الصعيد </w:t>
      </w:r>
      <w:proofErr w:type="gramStart"/>
      <w:r w:rsidRPr="00696A30">
        <w:rPr>
          <w:rFonts w:eastAsiaTheme="minorEastAsia"/>
          <w:rtl/>
        </w:rPr>
        <w:t>الدولي</w:t>
      </w:r>
      <w:r w:rsidRPr="00696A30">
        <w:rPr>
          <w:rFonts w:eastAsiaTheme="minorEastAsia"/>
          <w:vertAlign w:val="superscript"/>
          <w:rtl/>
        </w:rPr>
        <w:t>(</w:t>
      </w:r>
      <w:proofErr w:type="gramEnd"/>
      <w:r w:rsidRPr="00E841A5">
        <w:rPr>
          <w:rStyle w:val="EndnoteReference"/>
          <w:rFonts w:eastAsiaTheme="minorEastAsia"/>
          <w:lang w:val="en-US"/>
        </w:rPr>
        <w:endnoteReference w:id="9"/>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B973DF0" w14:textId="3B6B6411" w:rsidR="00056D32" w:rsidRPr="00696A30" w:rsidRDefault="00056D32" w:rsidP="00DE1336">
      <w:pPr>
        <w:pStyle w:val="SingleTxtGA"/>
        <w:spacing w:line="340" w:lineRule="exact"/>
        <w:rPr>
          <w:rFonts w:eastAsiaTheme="minorEastAsia"/>
          <w:szCs w:val="20"/>
          <w:lang w:val="ar-SA" w:eastAsia="zh-TW" w:bidi="en-GB"/>
        </w:rPr>
      </w:pPr>
      <w:r w:rsidRPr="00E841A5">
        <w:rPr>
          <w:rFonts w:eastAsiaTheme="minorEastAsia"/>
          <w:szCs w:val="20"/>
          <w:rtl/>
        </w:rPr>
        <w:t>8</w:t>
      </w:r>
      <w:r w:rsidRPr="00696A30">
        <w:rPr>
          <w:rFonts w:eastAsiaTheme="minorEastAsia"/>
          <w:szCs w:val="20"/>
          <w:rtl/>
        </w:rPr>
        <w:t>-</w:t>
      </w:r>
      <w:r w:rsidRPr="00696A30">
        <w:rPr>
          <w:rFonts w:eastAsiaTheme="minorEastAsia"/>
          <w:rtl/>
        </w:rPr>
        <w:tab/>
        <w:t xml:space="preserve">وقالت منظمة الأمم المتحدة للتربية والعلم والثقافة (اليونسكو) إنه ينبغي تشجيع سورينام على التصديق على اتفاقية مناهضة التمييز في مجال </w:t>
      </w:r>
      <w:proofErr w:type="gramStart"/>
      <w:r w:rsidRPr="00696A30">
        <w:rPr>
          <w:rFonts w:eastAsiaTheme="minorEastAsia"/>
          <w:rtl/>
        </w:rPr>
        <w:t>التعليم</w:t>
      </w:r>
      <w:r w:rsidRPr="00696A30">
        <w:rPr>
          <w:rFonts w:eastAsiaTheme="minorEastAsia"/>
          <w:vertAlign w:val="superscript"/>
          <w:rtl/>
        </w:rPr>
        <w:t>(</w:t>
      </w:r>
      <w:proofErr w:type="gramEnd"/>
      <w:r w:rsidRPr="00E841A5">
        <w:rPr>
          <w:rStyle w:val="EndnoteReference"/>
          <w:rFonts w:eastAsiaTheme="minorEastAsia"/>
          <w:lang w:val="en-US"/>
        </w:rPr>
        <w:endnoteReference w:id="10"/>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430002B" w14:textId="5CB9C712" w:rsidR="00056D32" w:rsidRPr="00696A30" w:rsidRDefault="00056D32" w:rsidP="00DE1336">
      <w:pPr>
        <w:pStyle w:val="SingleTxtGA"/>
        <w:spacing w:line="340" w:lineRule="exact"/>
        <w:rPr>
          <w:rFonts w:eastAsiaTheme="minorEastAsia"/>
          <w:szCs w:val="20"/>
          <w:lang w:val="ar-SA" w:eastAsia="zh-TW" w:bidi="en-GB"/>
        </w:rPr>
      </w:pPr>
      <w:r w:rsidRPr="00E841A5">
        <w:rPr>
          <w:rFonts w:eastAsiaTheme="minorEastAsia"/>
          <w:szCs w:val="20"/>
          <w:rtl/>
        </w:rPr>
        <w:t>9</w:t>
      </w:r>
      <w:r w:rsidRPr="00696A30">
        <w:rPr>
          <w:rFonts w:eastAsiaTheme="minorEastAsia"/>
          <w:szCs w:val="20"/>
          <w:rtl/>
        </w:rPr>
        <w:t>-</w:t>
      </w:r>
      <w:r w:rsidRPr="00696A30">
        <w:rPr>
          <w:rFonts w:eastAsiaTheme="minorEastAsia"/>
          <w:rtl/>
        </w:rPr>
        <w:tab/>
        <w:t>وشجعت اليونسكو الحكومة على التصديق على اتفاقية حماية وتعزيز تنوع أشكال التعبير</w:t>
      </w:r>
      <w:r w:rsidR="002814B5" w:rsidRPr="00696A30">
        <w:rPr>
          <w:rFonts w:eastAsiaTheme="minorEastAsia" w:hint="cs"/>
          <w:rtl/>
        </w:rPr>
        <w:t> </w:t>
      </w:r>
      <w:proofErr w:type="gramStart"/>
      <w:r w:rsidRPr="00696A30">
        <w:rPr>
          <w:rFonts w:eastAsiaTheme="minorEastAsia"/>
          <w:rtl/>
        </w:rPr>
        <w:t>الثقافي</w:t>
      </w:r>
      <w:r w:rsidRPr="00696A30">
        <w:rPr>
          <w:rFonts w:eastAsiaTheme="minorEastAsia"/>
          <w:vertAlign w:val="superscript"/>
          <w:rtl/>
        </w:rPr>
        <w:t>(</w:t>
      </w:r>
      <w:proofErr w:type="gramEnd"/>
      <w:r w:rsidRPr="00E841A5">
        <w:rPr>
          <w:rStyle w:val="EndnoteReference"/>
          <w:rFonts w:eastAsiaTheme="minorEastAsia"/>
          <w:lang w:val="en-US"/>
        </w:rPr>
        <w:endnoteReference w:id="11"/>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083659C" w14:textId="5B25C3D2" w:rsidR="00056D32" w:rsidRPr="00696A30" w:rsidRDefault="00056D32" w:rsidP="00DE1336">
      <w:pPr>
        <w:pStyle w:val="SingleTxtGA"/>
        <w:spacing w:line="340" w:lineRule="exact"/>
        <w:rPr>
          <w:rFonts w:eastAsiaTheme="minorEastAsia"/>
          <w:szCs w:val="20"/>
          <w:lang w:val="ar-SA" w:eastAsia="zh-TW" w:bidi="en-GB"/>
        </w:rPr>
      </w:pPr>
      <w:r w:rsidRPr="00E841A5">
        <w:rPr>
          <w:rFonts w:eastAsiaTheme="minorEastAsia"/>
          <w:szCs w:val="20"/>
          <w:rtl/>
        </w:rPr>
        <w:t>10</w:t>
      </w:r>
      <w:r w:rsidRPr="00696A30">
        <w:rPr>
          <w:rFonts w:eastAsiaTheme="minorEastAsia"/>
          <w:szCs w:val="20"/>
          <w:rtl/>
        </w:rPr>
        <w:t>-</w:t>
      </w:r>
      <w:r w:rsidRPr="00696A30">
        <w:rPr>
          <w:rFonts w:eastAsiaTheme="minorEastAsia"/>
          <w:rtl/>
        </w:rPr>
        <w:tab/>
        <w:t xml:space="preserve">وأوصى فريق الأمم المتحدة القطري بأن توجه حكومة سورينام دعوة دائمة إلى جميع المكلفين بولايات في إطار الإجراءات الخاصة لمجلس حقوق </w:t>
      </w:r>
      <w:proofErr w:type="gramStart"/>
      <w:r w:rsidRPr="00696A30">
        <w:rPr>
          <w:rFonts w:eastAsiaTheme="minorEastAsia"/>
          <w:rtl/>
        </w:rPr>
        <w:t>الإنسان</w:t>
      </w:r>
      <w:r w:rsidRPr="00696A30">
        <w:rPr>
          <w:rFonts w:eastAsiaTheme="minorEastAsia"/>
          <w:vertAlign w:val="superscript"/>
          <w:rtl/>
        </w:rPr>
        <w:t>(</w:t>
      </w:r>
      <w:proofErr w:type="gramEnd"/>
      <w:r w:rsidRPr="00E841A5">
        <w:rPr>
          <w:rStyle w:val="EndnoteReference"/>
          <w:rFonts w:eastAsiaTheme="minorEastAsia"/>
          <w:lang w:val="en-US"/>
        </w:rPr>
        <w:endnoteReference w:id="12"/>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BDDF267" w14:textId="7DE90F1A" w:rsidR="00056D32" w:rsidRPr="00696A30" w:rsidRDefault="00056D32" w:rsidP="00DE1336">
      <w:pPr>
        <w:pStyle w:val="SingleTxtGA"/>
        <w:spacing w:line="340" w:lineRule="exact"/>
        <w:rPr>
          <w:rFonts w:eastAsiaTheme="minorEastAsia"/>
          <w:szCs w:val="20"/>
          <w:lang w:val="ar-SA" w:eastAsia="zh-TW" w:bidi="en-GB"/>
        </w:rPr>
      </w:pPr>
      <w:r w:rsidRPr="00E841A5">
        <w:rPr>
          <w:rFonts w:eastAsiaTheme="minorEastAsia"/>
          <w:szCs w:val="20"/>
          <w:rtl/>
        </w:rPr>
        <w:t>11</w:t>
      </w:r>
      <w:r w:rsidRPr="00696A30">
        <w:rPr>
          <w:rFonts w:eastAsiaTheme="minorEastAsia"/>
          <w:szCs w:val="20"/>
          <w:rtl/>
        </w:rPr>
        <w:t>-</w:t>
      </w:r>
      <w:r w:rsidRPr="00696A30">
        <w:rPr>
          <w:rFonts w:eastAsiaTheme="minorEastAsia"/>
          <w:rtl/>
        </w:rPr>
        <w:tab/>
        <w:t>وأوصى ال</w:t>
      </w:r>
      <w:r w:rsidR="00670955" w:rsidRPr="00696A30">
        <w:rPr>
          <w:rFonts w:eastAsiaTheme="minorEastAsia" w:hint="cs"/>
          <w:rtl/>
        </w:rPr>
        <w:t xml:space="preserve">فريق </w:t>
      </w:r>
      <w:r w:rsidRPr="00696A30">
        <w:rPr>
          <w:rFonts w:eastAsiaTheme="minorEastAsia"/>
          <w:rtl/>
        </w:rPr>
        <w:t>القطري أيض</w:t>
      </w:r>
      <w:r w:rsidR="004B1A4F" w:rsidRPr="00696A30">
        <w:rPr>
          <w:rFonts w:eastAsiaTheme="minorEastAsia"/>
          <w:rtl/>
        </w:rPr>
        <w:t xml:space="preserve">اً </w:t>
      </w:r>
      <w:r w:rsidRPr="00696A30">
        <w:rPr>
          <w:rFonts w:eastAsiaTheme="minorEastAsia"/>
          <w:rtl/>
        </w:rPr>
        <w:t xml:space="preserve">بأن تقدم الحكومة تقاريرها المتأخرة المتعلقة بالعهد الدولي الخاص بالحقوق الاقتصادية والاجتماعية والثقافية واتفاقية حقوق الأشخاص ذوي الإعاقة، وأن تواصل تعاونها مع آليات الأمم المتحدة لحقوق </w:t>
      </w:r>
      <w:proofErr w:type="gramStart"/>
      <w:r w:rsidRPr="00696A30">
        <w:rPr>
          <w:rFonts w:eastAsiaTheme="minorEastAsia"/>
          <w:rtl/>
        </w:rPr>
        <w:t>الإنسان</w:t>
      </w:r>
      <w:r w:rsidRPr="00696A30">
        <w:rPr>
          <w:rFonts w:eastAsiaTheme="minorEastAsia"/>
          <w:vertAlign w:val="superscript"/>
          <w:rtl/>
        </w:rPr>
        <w:t>(</w:t>
      </w:r>
      <w:proofErr w:type="gramEnd"/>
      <w:r w:rsidRPr="00E841A5">
        <w:rPr>
          <w:rStyle w:val="EndnoteReference"/>
          <w:rFonts w:eastAsiaTheme="minorEastAsia"/>
          <w:lang w:val="en-US"/>
        </w:rPr>
        <w:endnoteReference w:id="13"/>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6CA9465C" w14:textId="5A4A02DD" w:rsidR="00056D32" w:rsidRPr="00E841A5" w:rsidRDefault="00056D32" w:rsidP="00056D32">
      <w:pPr>
        <w:pStyle w:val="HChGA"/>
        <w:rPr>
          <w:rFonts w:eastAsiaTheme="minorEastAsia"/>
          <w:szCs w:val="20"/>
          <w:lang w:val="en-US" w:eastAsia="zh-TW" w:bidi="en-GB"/>
        </w:rPr>
      </w:pPr>
      <w:r w:rsidRPr="00E841A5">
        <w:rPr>
          <w:rFonts w:eastAsiaTheme="minorEastAsia"/>
          <w:rtl/>
        </w:rPr>
        <w:tab/>
        <w:t>ثالثا</w:t>
      </w:r>
      <w:r w:rsidRPr="00E841A5">
        <w:rPr>
          <w:rFonts w:eastAsiaTheme="minorEastAsia" w:hint="cs"/>
          <w:rtl/>
        </w:rPr>
        <w:t>ً</w:t>
      </w:r>
      <w:r w:rsidRPr="00E841A5">
        <w:rPr>
          <w:rFonts w:eastAsiaTheme="minorEastAsia"/>
          <w:rtl/>
        </w:rPr>
        <w:t>-</w:t>
      </w:r>
      <w:r w:rsidRPr="00E841A5">
        <w:rPr>
          <w:rFonts w:eastAsiaTheme="minorEastAsia"/>
          <w:rtl/>
        </w:rPr>
        <w:tab/>
        <w:t>الإطار الوطني لحقوق الإنسان</w:t>
      </w:r>
      <w:r w:rsidRPr="00696A30">
        <w:rPr>
          <w:rStyle w:val="EndnoteReference"/>
          <w:rFonts w:eastAsiaTheme="minorEastAsia"/>
          <w:b w:val="0"/>
          <w:bCs w:val="0"/>
          <w:sz w:val="22"/>
          <w:szCs w:val="22"/>
          <w:rtl/>
        </w:rPr>
        <w:t>(</w:t>
      </w:r>
      <w:r w:rsidRPr="00E841A5">
        <w:rPr>
          <w:rStyle w:val="EndnoteReference"/>
          <w:rFonts w:eastAsiaTheme="minorEastAsia"/>
          <w:b w:val="0"/>
          <w:bCs w:val="0"/>
          <w:sz w:val="22"/>
          <w:szCs w:val="22"/>
          <w:lang w:val="en-US"/>
        </w:rPr>
        <w:endnoteReference w:id="14"/>
      </w:r>
      <w:r w:rsidRPr="00696A30">
        <w:rPr>
          <w:rStyle w:val="EndnoteReference"/>
          <w:rFonts w:eastAsiaTheme="minorEastAsia"/>
          <w:b w:val="0"/>
          <w:bCs w:val="0"/>
          <w:sz w:val="22"/>
          <w:szCs w:val="22"/>
          <w:rtl/>
        </w:rPr>
        <w:t>)</w:t>
      </w:r>
    </w:p>
    <w:p w14:paraId="34FD3BAC" w14:textId="58C8DE7C" w:rsidR="00056D32" w:rsidRPr="00696A30" w:rsidRDefault="00056D32" w:rsidP="00DE1336">
      <w:pPr>
        <w:pStyle w:val="SingleTxtGA"/>
        <w:spacing w:line="340" w:lineRule="exact"/>
        <w:rPr>
          <w:rFonts w:eastAsiaTheme="minorEastAsia"/>
          <w:szCs w:val="20"/>
          <w:lang w:val="ar-SA" w:eastAsia="zh-TW" w:bidi="en-GB"/>
        </w:rPr>
      </w:pPr>
      <w:r w:rsidRPr="00E841A5">
        <w:rPr>
          <w:rFonts w:eastAsiaTheme="minorEastAsia"/>
          <w:szCs w:val="20"/>
          <w:rtl/>
        </w:rPr>
        <w:t>12</w:t>
      </w:r>
      <w:r w:rsidRPr="00696A30">
        <w:rPr>
          <w:rFonts w:eastAsiaTheme="minorEastAsia"/>
          <w:szCs w:val="20"/>
          <w:rtl/>
        </w:rPr>
        <w:t>-</w:t>
      </w:r>
      <w:r w:rsidRPr="00696A30">
        <w:rPr>
          <w:rFonts w:eastAsiaTheme="minorEastAsia"/>
          <w:rtl/>
        </w:rPr>
        <w:tab/>
        <w:t xml:space="preserve">رحبت اللجنة المعنية بالقضاء على التمييز ضد المرأة‏‏ بإنشاء المعهد الوطني لحقوق الإنسان في عام </w:t>
      </w:r>
      <w:r w:rsidRPr="00E841A5">
        <w:rPr>
          <w:rFonts w:eastAsiaTheme="minorEastAsia"/>
          <w:szCs w:val="20"/>
          <w:rtl/>
        </w:rPr>
        <w:t>2016</w:t>
      </w:r>
      <w:r w:rsidRPr="00696A30">
        <w:rPr>
          <w:rFonts w:eastAsiaTheme="minorEastAsia"/>
          <w:rtl/>
        </w:rPr>
        <w:t>، لكنها أعربت عن أسفها لأنه لم يبدأ العمل بعد. ودعت اللجنة الدولة إلى تفعيل المعهد، امتثال</w:t>
      </w:r>
      <w:r w:rsidR="004B1A4F" w:rsidRPr="00696A30">
        <w:rPr>
          <w:rFonts w:eastAsiaTheme="minorEastAsia"/>
          <w:rtl/>
        </w:rPr>
        <w:t xml:space="preserve">اً </w:t>
      </w:r>
      <w:r w:rsidRPr="00696A30">
        <w:rPr>
          <w:rFonts w:eastAsiaTheme="minorEastAsia"/>
          <w:rtl/>
        </w:rPr>
        <w:t>للمبادئ المتعلقة بمركز المؤسسات الوطنية لتعزيز وحماية حقوق الإنسان (مبادئ باريس)، بولاية واسعة تشمل تعزيز وحماية حقوق المرأة والمساواة بين الجنسين. وأوصت أيض</w:t>
      </w:r>
      <w:r w:rsidR="004B1A4F" w:rsidRPr="00696A30">
        <w:rPr>
          <w:rFonts w:eastAsiaTheme="minorEastAsia"/>
          <w:rtl/>
        </w:rPr>
        <w:t xml:space="preserve">اً </w:t>
      </w:r>
      <w:r w:rsidRPr="00696A30">
        <w:rPr>
          <w:rFonts w:eastAsiaTheme="minorEastAsia"/>
          <w:rtl/>
        </w:rPr>
        <w:t xml:space="preserve">بأن تخصص الدولة ما يكفي من الموارد البشرية والتقنية والمالية للمعهد وأن توفر بناء القدرات لموظفيها بشأن المسائل الجنسانية وحقوق المرأة بموجب اتفاقية القضاء على جميع أشكال التمييز ضد </w:t>
      </w:r>
      <w:proofErr w:type="gramStart"/>
      <w:r w:rsidRPr="00696A30">
        <w:rPr>
          <w:rFonts w:eastAsiaTheme="minorEastAsia"/>
          <w:rtl/>
        </w:rPr>
        <w:t>المرأة</w:t>
      </w:r>
      <w:r w:rsidRPr="00696A30">
        <w:rPr>
          <w:rFonts w:eastAsiaTheme="minorEastAsia"/>
          <w:vertAlign w:val="superscript"/>
          <w:rtl/>
        </w:rPr>
        <w:t>(</w:t>
      </w:r>
      <w:proofErr w:type="gramEnd"/>
      <w:r w:rsidRPr="00E841A5">
        <w:rPr>
          <w:rStyle w:val="EndnoteReference"/>
          <w:rFonts w:eastAsiaTheme="minorEastAsia"/>
          <w:lang w:val="en-US"/>
        </w:rPr>
        <w:endnoteReference w:id="15"/>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71E6FFE3" w14:textId="7806D8B9" w:rsidR="00056D32" w:rsidRPr="00E841A5" w:rsidRDefault="000E5FB0" w:rsidP="000E5FB0">
      <w:pPr>
        <w:pStyle w:val="HChGA"/>
        <w:rPr>
          <w:rFonts w:eastAsiaTheme="minorEastAsia"/>
          <w:szCs w:val="20"/>
          <w:lang w:val="ar-SA" w:eastAsia="zh-TW" w:bidi="en-GB"/>
        </w:rPr>
      </w:pPr>
      <w:r w:rsidRPr="00E841A5">
        <w:rPr>
          <w:rFonts w:eastAsiaTheme="minorEastAsia"/>
          <w:rtl/>
        </w:rPr>
        <w:tab/>
      </w:r>
      <w:r w:rsidR="00056D32" w:rsidRPr="00E841A5">
        <w:rPr>
          <w:rFonts w:eastAsiaTheme="minorEastAsia"/>
          <w:rtl/>
        </w:rPr>
        <w:t>رابعا</w:t>
      </w:r>
      <w:r w:rsidRPr="00E841A5">
        <w:rPr>
          <w:rFonts w:eastAsiaTheme="minorEastAsia" w:hint="cs"/>
          <w:rtl/>
        </w:rPr>
        <w:t>ً</w:t>
      </w:r>
      <w:r w:rsidR="00056D32" w:rsidRPr="00E841A5">
        <w:rPr>
          <w:rFonts w:eastAsiaTheme="minorEastAsia"/>
          <w:rtl/>
        </w:rPr>
        <w:t>-</w:t>
      </w:r>
      <w:r w:rsidR="00056D32" w:rsidRPr="00E841A5">
        <w:rPr>
          <w:rFonts w:eastAsiaTheme="minorEastAsia"/>
          <w:rtl/>
        </w:rPr>
        <w:tab/>
        <w:t>تنفيذ الالتزامات الدولية المتعلقة بحقوق الإنسان مع مراعاة القانون الدولي الإنساني الواجب التطبيق</w:t>
      </w:r>
    </w:p>
    <w:p w14:paraId="45F38F77" w14:textId="39B51948" w:rsidR="00056D32" w:rsidRPr="00E841A5" w:rsidRDefault="000E5FB0" w:rsidP="000E5FB0">
      <w:pPr>
        <w:pStyle w:val="H1GA"/>
        <w:rPr>
          <w:rFonts w:eastAsiaTheme="minorEastAsia"/>
          <w:szCs w:val="20"/>
          <w:lang w:val="ar-SA" w:eastAsia="zh-TW" w:bidi="en-GB"/>
        </w:rPr>
      </w:pPr>
      <w:r w:rsidRPr="00E841A5">
        <w:rPr>
          <w:rFonts w:eastAsiaTheme="minorEastAsia"/>
          <w:rtl/>
        </w:rPr>
        <w:tab/>
      </w:r>
      <w:r w:rsidR="00056D32" w:rsidRPr="00E841A5">
        <w:rPr>
          <w:rFonts w:eastAsiaTheme="minorEastAsia"/>
          <w:rtl/>
        </w:rPr>
        <w:t>ألف-</w:t>
      </w:r>
      <w:r w:rsidR="00056D32" w:rsidRPr="00E841A5">
        <w:rPr>
          <w:rFonts w:eastAsiaTheme="minorEastAsia"/>
          <w:rtl/>
        </w:rPr>
        <w:tab/>
        <w:t>المسائل الشاملة لعدة قطاعات</w:t>
      </w:r>
    </w:p>
    <w:p w14:paraId="2BD3A691" w14:textId="205B8C65" w:rsidR="00056D32" w:rsidRPr="00696A30" w:rsidRDefault="000E5FB0" w:rsidP="000E5FB0">
      <w:pPr>
        <w:pStyle w:val="H23GA"/>
        <w:rPr>
          <w:rFonts w:eastAsiaTheme="minorEastAsia"/>
          <w:b w:val="0"/>
          <w:bCs w:val="0"/>
          <w:szCs w:val="20"/>
          <w:lang w:val="en-US" w:eastAsia="zh-TW" w:bidi="en-GB"/>
        </w:rPr>
      </w:pPr>
      <w:r w:rsidRPr="00E841A5">
        <w:rPr>
          <w:rFonts w:eastAsiaTheme="minorEastAsia"/>
          <w:szCs w:val="20"/>
          <w:rtl/>
        </w:rPr>
        <w:tab/>
      </w:r>
      <w:r w:rsidR="00056D32" w:rsidRPr="00E841A5">
        <w:rPr>
          <w:rFonts w:eastAsiaTheme="minorEastAsia"/>
          <w:szCs w:val="20"/>
          <w:rtl/>
        </w:rPr>
        <w:t>1-</w:t>
      </w:r>
      <w:r w:rsidR="00056D32" w:rsidRPr="00E841A5">
        <w:rPr>
          <w:rFonts w:eastAsiaTheme="minorEastAsia"/>
          <w:rtl/>
        </w:rPr>
        <w:tab/>
        <w:t>المساواة وعدم التمييز</w:t>
      </w:r>
      <w:r w:rsidR="00056D32" w:rsidRPr="00696A30">
        <w:rPr>
          <w:rFonts w:eastAsiaTheme="minorEastAsia" w:cs="Times New Roman" w:hint="cs"/>
          <w:b w:val="0"/>
          <w:bCs w:val="0"/>
          <w:rtl/>
        </w:rPr>
        <w:t>‬</w:t>
      </w:r>
      <w:r w:rsidR="00056D32" w:rsidRPr="00696A30">
        <w:rPr>
          <w:rStyle w:val="EndnoteReference"/>
          <w:rFonts w:eastAsiaTheme="minorEastAsia"/>
          <w:b w:val="0"/>
          <w:bCs w:val="0"/>
          <w:rtl/>
        </w:rPr>
        <w:t>(</w:t>
      </w:r>
      <w:r w:rsidR="00056D32" w:rsidRPr="00E841A5">
        <w:rPr>
          <w:rStyle w:val="EndnoteReference"/>
          <w:rFonts w:eastAsiaTheme="minorEastAsia"/>
          <w:b w:val="0"/>
          <w:bCs w:val="0"/>
          <w:lang w:val="en-US"/>
        </w:rPr>
        <w:endnoteReference w:id="16"/>
      </w:r>
      <w:r w:rsidR="00056D32" w:rsidRPr="00696A30">
        <w:rPr>
          <w:rStyle w:val="EndnoteReference"/>
          <w:rFonts w:eastAsiaTheme="minorEastAsia"/>
          <w:b w:val="0"/>
          <w:bCs w:val="0"/>
          <w:rtl/>
        </w:rPr>
        <w:t>)</w:t>
      </w:r>
    </w:p>
    <w:p w14:paraId="71A9D673" w14:textId="643070CD" w:rsidR="00056D32" w:rsidRPr="00DE1336" w:rsidRDefault="00056D32" w:rsidP="00DE1336">
      <w:pPr>
        <w:pStyle w:val="SingleTxtGA"/>
        <w:spacing w:line="340" w:lineRule="exact"/>
        <w:rPr>
          <w:rFonts w:eastAsiaTheme="minorEastAsia"/>
          <w:spacing w:val="-4"/>
          <w:szCs w:val="20"/>
          <w:lang w:val="en-US" w:eastAsia="zh-TW" w:bidi="en-GB"/>
        </w:rPr>
      </w:pPr>
      <w:r w:rsidRPr="00E841A5">
        <w:rPr>
          <w:rFonts w:eastAsiaTheme="minorEastAsia"/>
          <w:szCs w:val="20"/>
          <w:rtl/>
        </w:rPr>
        <w:t>13</w:t>
      </w:r>
      <w:r w:rsidRPr="00696A30">
        <w:rPr>
          <w:rFonts w:eastAsiaTheme="minorEastAsia"/>
          <w:szCs w:val="20"/>
          <w:rtl/>
        </w:rPr>
        <w:t>-</w:t>
      </w:r>
      <w:r w:rsidRPr="00696A30">
        <w:rPr>
          <w:rFonts w:eastAsiaTheme="minorEastAsia"/>
          <w:rtl/>
        </w:rPr>
        <w:tab/>
        <w:t xml:space="preserve">أوصت اللجنة المعنية بالقضاء على التمييز ضد المرأة‏‏ بأن تعتمد الدولة مشروع قانون بشأن </w:t>
      </w:r>
      <w:r w:rsidRPr="00DE1336">
        <w:rPr>
          <w:rFonts w:eastAsiaTheme="minorEastAsia"/>
          <w:spacing w:val="-4"/>
          <w:rtl/>
        </w:rPr>
        <w:t>المساواة في المعاملة بين المرأة والرجل وأن تضمن إدراج تعريف للتمييز ضد المرأة، بما في ذلك الأشكال</w:t>
      </w:r>
      <w:r w:rsidR="002814B5" w:rsidRPr="00DE1336">
        <w:rPr>
          <w:rFonts w:eastAsiaTheme="minorEastAsia" w:hint="cs"/>
          <w:spacing w:val="-4"/>
          <w:rtl/>
        </w:rPr>
        <w:t> </w:t>
      </w:r>
      <w:r w:rsidRPr="00DE1336">
        <w:rPr>
          <w:rFonts w:eastAsiaTheme="minorEastAsia"/>
          <w:spacing w:val="-4"/>
          <w:rtl/>
        </w:rPr>
        <w:t>المتقاطعة للتمييز، وحظر التمييز المباشر وغير المباشر في المجالين العام والخاص، تمشي</w:t>
      </w:r>
      <w:r w:rsidR="004B1A4F" w:rsidRPr="00DE1336">
        <w:rPr>
          <w:rFonts w:eastAsiaTheme="minorEastAsia"/>
          <w:spacing w:val="-4"/>
          <w:rtl/>
        </w:rPr>
        <w:t>اً</w:t>
      </w:r>
      <w:r w:rsidR="00DE1336">
        <w:rPr>
          <w:rFonts w:eastAsiaTheme="minorEastAsia" w:hint="cs"/>
          <w:spacing w:val="-4"/>
          <w:rtl/>
        </w:rPr>
        <w:t xml:space="preserve"> </w:t>
      </w:r>
      <w:r w:rsidRPr="00DE1336">
        <w:rPr>
          <w:rFonts w:eastAsiaTheme="minorEastAsia"/>
          <w:spacing w:val="-4"/>
          <w:rtl/>
        </w:rPr>
        <w:t>مع</w:t>
      </w:r>
      <w:r w:rsidR="00DE1336">
        <w:rPr>
          <w:rFonts w:eastAsiaTheme="minorEastAsia" w:hint="cs"/>
          <w:spacing w:val="-4"/>
          <w:rtl/>
        </w:rPr>
        <w:t xml:space="preserve"> </w:t>
      </w:r>
      <w:r w:rsidRPr="00DE1336">
        <w:rPr>
          <w:rFonts w:eastAsiaTheme="minorEastAsia"/>
          <w:spacing w:val="-4"/>
          <w:rtl/>
        </w:rPr>
        <w:t>المادة</w:t>
      </w:r>
      <w:r w:rsidR="00DE1336">
        <w:rPr>
          <w:rFonts w:eastAsiaTheme="minorEastAsia" w:hint="cs"/>
          <w:spacing w:val="-4"/>
          <w:rtl/>
        </w:rPr>
        <w:t> </w:t>
      </w:r>
      <w:r w:rsidRPr="00E841A5">
        <w:rPr>
          <w:rFonts w:eastAsiaTheme="minorEastAsia"/>
          <w:spacing w:val="-4"/>
          <w:szCs w:val="20"/>
          <w:rtl/>
        </w:rPr>
        <w:t>1</w:t>
      </w:r>
      <w:r w:rsidRPr="00DE1336">
        <w:rPr>
          <w:rFonts w:eastAsiaTheme="minorEastAsia"/>
          <w:spacing w:val="-4"/>
          <w:rtl/>
        </w:rPr>
        <w:t xml:space="preserve"> من اتفاقية القضاء على جميع أشكال التمييز ضد المرأة، ومع الملاحظات الختامية السابقة </w:t>
      </w:r>
      <w:proofErr w:type="gramStart"/>
      <w:r w:rsidRPr="00DE1336">
        <w:rPr>
          <w:rFonts w:eastAsiaTheme="minorEastAsia"/>
          <w:spacing w:val="-4"/>
          <w:rtl/>
        </w:rPr>
        <w:t>للجنة</w:t>
      </w:r>
      <w:r w:rsidRPr="00DE1336">
        <w:rPr>
          <w:rFonts w:eastAsiaTheme="minorEastAsia"/>
          <w:spacing w:val="-4"/>
          <w:vertAlign w:val="superscript"/>
          <w:rtl/>
        </w:rPr>
        <w:t>(</w:t>
      </w:r>
      <w:proofErr w:type="gramEnd"/>
      <w:r w:rsidRPr="00E841A5">
        <w:rPr>
          <w:rStyle w:val="EndnoteReference"/>
          <w:rFonts w:eastAsiaTheme="minorEastAsia"/>
          <w:spacing w:val="-4"/>
          <w:lang w:val="en-US"/>
        </w:rPr>
        <w:endnoteReference w:id="17"/>
      </w:r>
      <w:r w:rsidR="000E5FB0" w:rsidRPr="00DE1336">
        <w:rPr>
          <w:rStyle w:val="EndnoteReference"/>
          <w:rFonts w:eastAsiaTheme="minorEastAsia"/>
          <w:spacing w:val="-4"/>
          <w:rtl/>
        </w:rPr>
        <w:t>)</w:t>
      </w:r>
      <w:r w:rsidR="000E5FB0" w:rsidRPr="00DE1336">
        <w:rPr>
          <w:rStyle w:val="EndnoteReference"/>
          <w:rFonts w:eastAsiaTheme="minorEastAsia"/>
          <w:spacing w:val="-4"/>
          <w:vertAlign w:val="baseline"/>
          <w:rtl/>
        </w:rPr>
        <w:t>.</w:t>
      </w:r>
    </w:p>
    <w:p w14:paraId="1B94E873" w14:textId="431098F2" w:rsidR="00056D32" w:rsidRPr="00696A30" w:rsidRDefault="00056D32" w:rsidP="00DE1336">
      <w:pPr>
        <w:pStyle w:val="SingleTxtGA"/>
        <w:spacing w:line="340" w:lineRule="exact"/>
        <w:rPr>
          <w:rFonts w:eastAsiaTheme="minorEastAsia"/>
          <w:szCs w:val="20"/>
          <w:rtl/>
          <w:lang w:eastAsia="zh-TW"/>
        </w:rPr>
      </w:pPr>
      <w:r w:rsidRPr="00E841A5">
        <w:rPr>
          <w:rFonts w:eastAsiaTheme="minorEastAsia"/>
          <w:szCs w:val="20"/>
          <w:rtl/>
        </w:rPr>
        <w:t>14</w:t>
      </w:r>
      <w:r w:rsidRPr="00696A30">
        <w:rPr>
          <w:rFonts w:eastAsiaTheme="minorEastAsia"/>
          <w:szCs w:val="20"/>
          <w:rtl/>
        </w:rPr>
        <w:t>-</w:t>
      </w:r>
      <w:r w:rsidRPr="00696A30">
        <w:rPr>
          <w:rFonts w:eastAsiaTheme="minorEastAsia"/>
          <w:rtl/>
        </w:rPr>
        <w:tab/>
        <w:t xml:space="preserve">وأوصت لجنة حقوق الطفل بأن تكثف الدولة جهودها لكفالة القضاء الفعال على أي شكل من أشكال التمييز ضد أطفال الهنود الأمريكيين والمارون، وأطفال المهاجرين الهايتيين، والأطفال المصابين بفيروس نقص المناعة البشرية/الإيدز، والأطفال من المثليات، والمثليين، ومزدوجي الميل الجنسي، ومغايري الهوية الجنسانية، وحاملي صفات الجنسين، وغيرهم من فئات الأطفال المهمشين، وذلك من خلال جملة أمور بينها حملات توعية وتثقيف، ولا سيما في المجتمع المحلي وفي </w:t>
      </w:r>
      <w:proofErr w:type="gramStart"/>
      <w:r w:rsidRPr="00696A30">
        <w:rPr>
          <w:rFonts w:eastAsiaTheme="minorEastAsia"/>
          <w:rtl/>
        </w:rPr>
        <w:t>المدارس</w:t>
      </w:r>
      <w:r w:rsidRPr="00696A30">
        <w:rPr>
          <w:rFonts w:eastAsiaTheme="minorEastAsia"/>
          <w:vertAlign w:val="superscript"/>
          <w:rtl/>
        </w:rPr>
        <w:t>(</w:t>
      </w:r>
      <w:proofErr w:type="gramEnd"/>
      <w:r w:rsidRPr="00E841A5">
        <w:rPr>
          <w:rStyle w:val="EndnoteReference"/>
          <w:rFonts w:eastAsiaTheme="minorEastAsia"/>
          <w:lang w:val="en-US"/>
        </w:rPr>
        <w:endnoteReference w:id="18"/>
      </w:r>
      <w:r w:rsidR="000E5FB0" w:rsidRPr="00696A30">
        <w:rPr>
          <w:rStyle w:val="EndnoteReference"/>
          <w:rFonts w:eastAsiaTheme="minorEastAsia"/>
          <w:rtl/>
        </w:rPr>
        <w:t>)</w:t>
      </w:r>
      <w:r w:rsidR="000E5FB0" w:rsidRPr="00696A30">
        <w:rPr>
          <w:rFonts w:eastAsiaTheme="minorEastAsia" w:hint="cs"/>
          <w:szCs w:val="20"/>
          <w:rtl/>
          <w:lang w:eastAsia="zh-TW"/>
        </w:rPr>
        <w:t>.</w:t>
      </w:r>
    </w:p>
    <w:p w14:paraId="3AA64231" w14:textId="4152B739"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lastRenderedPageBreak/>
        <w:t>15</w:t>
      </w:r>
      <w:r w:rsidRPr="00696A30">
        <w:rPr>
          <w:rFonts w:eastAsiaTheme="minorEastAsia"/>
          <w:szCs w:val="20"/>
          <w:rtl/>
        </w:rPr>
        <w:t>-</w:t>
      </w:r>
      <w:r w:rsidRPr="00696A30">
        <w:rPr>
          <w:rFonts w:eastAsiaTheme="minorEastAsia"/>
          <w:rtl/>
        </w:rPr>
        <w:tab/>
        <w:t>وذكر فريق الأمم المتحدة القطري أن حكومة سورينام لم تتخذ ما يكفي من الخطوات اللازمة لاعتماد تدابير تشريعية وتدابير أخرى بغية تطبيق حظر صريح للتمييز على أساس الميل الجنسي والهوية الجنسانية، وأنها لم تكثف التدابير الرامية إلى منع العنف ضد المثليات والمثليين ومزدوجي الميل الجنسي ومغايري الهوية الجنسانية وحاملي صفات الجنسين والمعاقبة عليه. ولا توجد كذلك لوائح قانونية تتناول بالتحديد وضع مغايري الهوية الجنسانية. وأوصت بأن تسن الحكومة تشريع</w:t>
      </w:r>
      <w:r w:rsidR="004B1A4F" w:rsidRPr="00696A30">
        <w:rPr>
          <w:rFonts w:eastAsiaTheme="minorEastAsia"/>
          <w:rtl/>
        </w:rPr>
        <w:t xml:space="preserve">اً </w:t>
      </w:r>
      <w:r w:rsidRPr="00696A30">
        <w:rPr>
          <w:rFonts w:eastAsiaTheme="minorEastAsia"/>
          <w:rtl/>
        </w:rPr>
        <w:t>يعالج على وجه التحديد التمييز ضد المثليات والمثليين ومزدوجي الميل الجنسي ومغايري الهوية الجنسانية وحاملي صفات</w:t>
      </w:r>
      <w:r w:rsidR="007532BE" w:rsidRPr="00696A30">
        <w:rPr>
          <w:rFonts w:eastAsiaTheme="minorEastAsia" w:hint="cs"/>
          <w:rtl/>
        </w:rPr>
        <w:t> </w:t>
      </w:r>
      <w:proofErr w:type="gramStart"/>
      <w:r w:rsidRPr="00696A30">
        <w:rPr>
          <w:rFonts w:eastAsiaTheme="minorEastAsia"/>
          <w:rtl/>
        </w:rPr>
        <w:t>الجنسين</w:t>
      </w:r>
      <w:r w:rsidRPr="00696A30">
        <w:rPr>
          <w:rFonts w:eastAsiaTheme="minorEastAsia"/>
          <w:vertAlign w:val="superscript"/>
          <w:rtl/>
        </w:rPr>
        <w:t>(</w:t>
      </w:r>
      <w:proofErr w:type="gramEnd"/>
      <w:r w:rsidRPr="00E841A5">
        <w:rPr>
          <w:rStyle w:val="EndnoteReference"/>
          <w:rFonts w:eastAsiaTheme="minorEastAsia"/>
          <w:color w:val="000000"/>
          <w:lang w:val="en-US" w:eastAsia="en-GB"/>
        </w:rPr>
        <w:endnoteReference w:id="19"/>
      </w:r>
      <w:r w:rsidR="000E5FB0" w:rsidRPr="00696A30">
        <w:rPr>
          <w:rStyle w:val="EndnoteReference"/>
          <w:rFonts w:eastAsiaTheme="minorEastAsia"/>
          <w:color w:val="000000"/>
          <w:rtl/>
        </w:rPr>
        <w:t>)</w:t>
      </w:r>
      <w:r w:rsidR="000E5FB0" w:rsidRPr="00696A30">
        <w:rPr>
          <w:rStyle w:val="EndnoteReference"/>
          <w:rFonts w:eastAsiaTheme="minorEastAsia"/>
          <w:color w:val="000000"/>
          <w:vertAlign w:val="baseline"/>
          <w:rtl/>
        </w:rPr>
        <w:t>.</w:t>
      </w:r>
    </w:p>
    <w:p w14:paraId="17463768" w14:textId="20F671F8"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16</w:t>
      </w:r>
      <w:r w:rsidRPr="00696A30">
        <w:rPr>
          <w:rFonts w:eastAsiaTheme="minorEastAsia"/>
          <w:szCs w:val="20"/>
          <w:rtl/>
        </w:rPr>
        <w:t>-</w:t>
      </w:r>
      <w:r w:rsidRPr="00696A30">
        <w:rPr>
          <w:rFonts w:eastAsiaTheme="minorEastAsia"/>
          <w:rtl/>
        </w:rPr>
        <w:tab/>
        <w:t xml:space="preserve">وأعربت اللجنة المعنية بالقضاء على التمييز ضد المرأة عن قلقها لأن المثليات ومزدوجات الميل الجنسي ومغايرات الهوية الجنسانية وحاملات صفات الجنسين ما زلن يواجهن التمييز والمضايقة، ولا سيما فيما يتعلق بحقوقهن في التعليم والعمل </w:t>
      </w:r>
      <w:proofErr w:type="gramStart"/>
      <w:r w:rsidRPr="00696A30">
        <w:rPr>
          <w:rFonts w:eastAsiaTheme="minorEastAsia"/>
          <w:rtl/>
        </w:rPr>
        <w:t>والصحة</w:t>
      </w:r>
      <w:r w:rsidRPr="00696A30">
        <w:rPr>
          <w:rFonts w:eastAsiaTheme="minorEastAsia"/>
          <w:vertAlign w:val="superscript"/>
          <w:rtl/>
        </w:rPr>
        <w:t>(</w:t>
      </w:r>
      <w:proofErr w:type="gramEnd"/>
      <w:r w:rsidRPr="00E841A5">
        <w:rPr>
          <w:rStyle w:val="EndnoteReference"/>
          <w:rFonts w:eastAsiaTheme="minorEastAsia"/>
          <w:lang w:val="en-US"/>
        </w:rPr>
        <w:endnoteReference w:id="20"/>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7BC84FF1" w14:textId="3FF96EA8" w:rsidR="00056D32" w:rsidRPr="00E841A5" w:rsidRDefault="004B1A4F" w:rsidP="000E5FB0">
      <w:pPr>
        <w:pStyle w:val="H23GA"/>
        <w:rPr>
          <w:rFonts w:eastAsiaTheme="minorEastAsia"/>
          <w:szCs w:val="20"/>
          <w:lang w:val="ar-SA" w:eastAsia="zh-TW" w:bidi="en-GB"/>
        </w:rPr>
      </w:pPr>
      <w:r w:rsidRPr="00E841A5">
        <w:rPr>
          <w:rFonts w:eastAsiaTheme="minorEastAsia"/>
          <w:szCs w:val="20"/>
          <w:rtl/>
        </w:rPr>
        <w:tab/>
      </w:r>
      <w:r w:rsidR="00056D32" w:rsidRPr="00E841A5">
        <w:rPr>
          <w:rFonts w:eastAsiaTheme="minorEastAsia"/>
          <w:szCs w:val="20"/>
          <w:rtl/>
        </w:rPr>
        <w:t>2-</w:t>
      </w:r>
      <w:r w:rsidR="00056D32" w:rsidRPr="00E841A5">
        <w:rPr>
          <w:rFonts w:eastAsiaTheme="minorEastAsia"/>
          <w:rtl/>
        </w:rPr>
        <w:tab/>
        <w:t>التنمية والبيئة والأعمال التجارية وحقوق الإنسان</w:t>
      </w:r>
      <w:r w:rsidR="00056D32" w:rsidRPr="00E841A5">
        <w:rPr>
          <w:rStyle w:val="EndnoteReference"/>
          <w:rFonts w:eastAsiaTheme="minorEastAsia"/>
          <w:bCs w:val="0"/>
          <w:rtl/>
        </w:rPr>
        <w:t>(</w:t>
      </w:r>
      <w:r w:rsidR="00056D32" w:rsidRPr="00E841A5">
        <w:rPr>
          <w:rStyle w:val="EndnoteReference"/>
          <w:rFonts w:eastAsiaTheme="minorEastAsia"/>
          <w:bCs w:val="0"/>
          <w:lang w:val="en-US"/>
        </w:rPr>
        <w:endnoteReference w:id="21"/>
      </w:r>
      <w:r w:rsidR="00056D32" w:rsidRPr="00E841A5">
        <w:rPr>
          <w:rStyle w:val="EndnoteReference"/>
          <w:rFonts w:eastAsiaTheme="minorEastAsia"/>
          <w:bCs w:val="0"/>
          <w:rtl/>
        </w:rPr>
        <w:t>)</w:t>
      </w:r>
    </w:p>
    <w:p w14:paraId="4EAFD579" w14:textId="0341AA3C"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17</w:t>
      </w:r>
      <w:r w:rsidRPr="00696A30">
        <w:rPr>
          <w:rFonts w:eastAsiaTheme="minorEastAsia"/>
          <w:szCs w:val="20"/>
          <w:rtl/>
        </w:rPr>
        <w:t>-</w:t>
      </w:r>
      <w:r w:rsidRPr="00696A30">
        <w:rPr>
          <w:rFonts w:eastAsiaTheme="minorEastAsia"/>
          <w:rtl/>
        </w:rPr>
        <w:tab/>
        <w:t>أوصت لجنة حقوق الطفل بأن تتخذ الدولة تدابير لمكافحة جميع أشكال الفساد التي تؤثر سلب</w:t>
      </w:r>
      <w:r w:rsidR="004B1A4F" w:rsidRPr="00696A30">
        <w:rPr>
          <w:rFonts w:eastAsiaTheme="minorEastAsia"/>
          <w:rtl/>
        </w:rPr>
        <w:t xml:space="preserve">اً </w:t>
      </w:r>
      <w:r w:rsidRPr="00696A30">
        <w:rPr>
          <w:rFonts w:eastAsiaTheme="minorEastAsia"/>
          <w:rtl/>
        </w:rPr>
        <w:t xml:space="preserve">على التنمية الاقتصادية للدولة، بما في ذلك اعتماد مشروع قانون مكافحة </w:t>
      </w:r>
      <w:proofErr w:type="gramStart"/>
      <w:r w:rsidRPr="00696A30">
        <w:rPr>
          <w:rFonts w:eastAsiaTheme="minorEastAsia"/>
          <w:rtl/>
        </w:rPr>
        <w:t>الفساد</w:t>
      </w:r>
      <w:r w:rsidRPr="00696A30">
        <w:rPr>
          <w:rFonts w:eastAsiaTheme="minorEastAsia"/>
          <w:vertAlign w:val="superscript"/>
          <w:rtl/>
        </w:rPr>
        <w:t>(</w:t>
      </w:r>
      <w:proofErr w:type="gramEnd"/>
      <w:r w:rsidRPr="00E841A5">
        <w:rPr>
          <w:rStyle w:val="EndnoteReference"/>
          <w:rFonts w:eastAsiaTheme="minorEastAsia"/>
          <w:lang w:val="en-US"/>
        </w:rPr>
        <w:endnoteReference w:id="22"/>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4A9D65CA" w14:textId="674AC692"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18</w:t>
      </w:r>
      <w:r w:rsidRPr="00696A30">
        <w:rPr>
          <w:rFonts w:eastAsiaTheme="minorEastAsia"/>
          <w:szCs w:val="20"/>
          <w:rtl/>
        </w:rPr>
        <w:t>-</w:t>
      </w:r>
      <w:r w:rsidRPr="00696A30">
        <w:rPr>
          <w:rFonts w:eastAsiaTheme="minorEastAsia"/>
          <w:rtl/>
        </w:rPr>
        <w:tab/>
        <w:t xml:space="preserve">وأوصت اللجنة المعنية بالقضاء على التمييز ضد المرأة‏‏ بأن تضع الدولة سياسة حكومية بشأن تنفيذ قانون مكافحة الفساد، وأن تعزز القدرات المؤسسية على الكشف عن ادعاءات الفساد في القطاع العام والتحقيق فيها بفعالية، ومقاضاة مرتكبيها، وضمان شفافية نظام الإدارة المالية </w:t>
      </w:r>
      <w:proofErr w:type="gramStart"/>
      <w:r w:rsidRPr="00696A30">
        <w:rPr>
          <w:rFonts w:eastAsiaTheme="minorEastAsia"/>
          <w:rtl/>
        </w:rPr>
        <w:t>العامة</w:t>
      </w:r>
      <w:r w:rsidRPr="00696A30">
        <w:rPr>
          <w:rFonts w:eastAsiaTheme="minorEastAsia"/>
          <w:vertAlign w:val="superscript"/>
          <w:rtl/>
        </w:rPr>
        <w:t>(</w:t>
      </w:r>
      <w:proofErr w:type="gramEnd"/>
      <w:r w:rsidRPr="00E841A5">
        <w:rPr>
          <w:rStyle w:val="EndnoteReference"/>
          <w:rFonts w:eastAsiaTheme="minorEastAsia"/>
          <w:lang w:val="en-US"/>
        </w:rPr>
        <w:endnoteReference w:id="23"/>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1356C044" w14:textId="06EAD1A7" w:rsidR="00056D32" w:rsidRPr="00696A30" w:rsidRDefault="00056D32" w:rsidP="00056D32">
      <w:pPr>
        <w:pStyle w:val="SingleTxtGA"/>
        <w:rPr>
          <w:rFonts w:eastAsiaTheme="minorEastAsia"/>
          <w:szCs w:val="20"/>
          <w:lang w:val="en-US" w:eastAsia="zh-TW" w:bidi="en-GB"/>
        </w:rPr>
      </w:pPr>
      <w:r w:rsidRPr="00E841A5">
        <w:rPr>
          <w:rFonts w:eastAsiaTheme="minorEastAsia"/>
          <w:szCs w:val="20"/>
          <w:rtl/>
        </w:rPr>
        <w:t>19</w:t>
      </w:r>
      <w:r w:rsidRPr="00696A30">
        <w:rPr>
          <w:rFonts w:eastAsiaTheme="minorEastAsia"/>
          <w:szCs w:val="20"/>
          <w:rtl/>
        </w:rPr>
        <w:t>-</w:t>
      </w:r>
      <w:r w:rsidRPr="00696A30">
        <w:rPr>
          <w:rFonts w:eastAsiaTheme="minorEastAsia"/>
          <w:rtl/>
        </w:rPr>
        <w:tab/>
        <w:t>وأعربت اللجنة نفسها عن قلقها إزاء الأثر السلبي لأنشطة شركات تعدين الذهب واستخراج النفط</w:t>
      </w:r>
      <w:r w:rsidR="007532BE" w:rsidRPr="00696A30">
        <w:rPr>
          <w:rFonts w:eastAsiaTheme="minorEastAsia" w:hint="cs"/>
          <w:rtl/>
        </w:rPr>
        <w:t> </w:t>
      </w:r>
      <w:r w:rsidRPr="00696A30">
        <w:rPr>
          <w:rFonts w:eastAsiaTheme="minorEastAsia"/>
          <w:rtl/>
        </w:rPr>
        <w:t>والأعمال التجارية الزراعية المملوكة لأجانب على حقوق المرأة الريفية ونساء المارون ونساء الشعوب</w:t>
      </w:r>
      <w:r w:rsidR="004B1A4F" w:rsidRPr="00696A30">
        <w:rPr>
          <w:rFonts w:eastAsiaTheme="minorEastAsia" w:hint="cs"/>
          <w:rtl/>
        </w:rPr>
        <w:t> </w:t>
      </w:r>
      <w:proofErr w:type="gramStart"/>
      <w:r w:rsidRPr="00696A30">
        <w:rPr>
          <w:rFonts w:eastAsiaTheme="minorEastAsia"/>
          <w:rtl/>
        </w:rPr>
        <w:t>الأصلية</w:t>
      </w:r>
      <w:r w:rsidRPr="00696A30">
        <w:rPr>
          <w:rFonts w:eastAsiaTheme="minorEastAsia"/>
          <w:vertAlign w:val="superscript"/>
          <w:rtl/>
        </w:rPr>
        <w:t>(</w:t>
      </w:r>
      <w:proofErr w:type="gramEnd"/>
      <w:r w:rsidRPr="00E841A5">
        <w:rPr>
          <w:rStyle w:val="EndnoteReference"/>
          <w:rFonts w:eastAsiaTheme="minorEastAsia"/>
          <w:lang w:val="en-US"/>
        </w:rPr>
        <w:endnoteReference w:id="24"/>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21AA7EE" w14:textId="2C03F89C"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20</w:t>
      </w:r>
      <w:r w:rsidRPr="00696A30">
        <w:rPr>
          <w:rFonts w:eastAsiaTheme="minorEastAsia"/>
          <w:szCs w:val="20"/>
          <w:rtl/>
        </w:rPr>
        <w:t>-</w:t>
      </w:r>
      <w:r w:rsidRPr="00696A30">
        <w:rPr>
          <w:rFonts w:eastAsiaTheme="minorEastAsia"/>
          <w:rtl/>
        </w:rPr>
        <w:tab/>
        <w:t>وأوصى الفريق القطري بأن تواصل الحكومة العمل على مكافحة تلوث الأراضي والمياه</w:t>
      </w:r>
      <w:r w:rsidR="002814B5" w:rsidRPr="00696A30">
        <w:rPr>
          <w:rFonts w:eastAsiaTheme="minorEastAsia" w:hint="cs"/>
          <w:rtl/>
        </w:rPr>
        <w:t> </w:t>
      </w:r>
      <w:r w:rsidRPr="00696A30">
        <w:rPr>
          <w:rFonts w:eastAsiaTheme="minorEastAsia"/>
          <w:rtl/>
        </w:rPr>
        <w:t>الناجم</w:t>
      </w:r>
      <w:r w:rsidR="00861BA0" w:rsidRPr="00696A30">
        <w:rPr>
          <w:rFonts w:eastAsiaTheme="minorEastAsia" w:hint="cs"/>
          <w:rtl/>
        </w:rPr>
        <w:t> </w:t>
      </w:r>
      <w:r w:rsidRPr="00696A30">
        <w:rPr>
          <w:rFonts w:eastAsiaTheme="minorEastAsia"/>
          <w:rtl/>
        </w:rPr>
        <w:t>عن النفايات الصناعية، وإصدار لوائح تكميلية موجهة نحو تنفيذ قانون الإطار البيئي (رقم</w:t>
      </w:r>
      <w:r w:rsidR="002814B5" w:rsidRPr="00696A30">
        <w:rPr>
          <w:rFonts w:eastAsiaTheme="minorEastAsia" w:hint="cs"/>
          <w:rtl/>
        </w:rPr>
        <w:t> </w:t>
      </w:r>
      <w:r w:rsidRPr="00E841A5">
        <w:rPr>
          <w:rFonts w:eastAsiaTheme="minorEastAsia"/>
          <w:szCs w:val="20"/>
          <w:rtl/>
        </w:rPr>
        <w:t>97</w:t>
      </w:r>
      <w:r w:rsidRPr="00696A30">
        <w:rPr>
          <w:rFonts w:eastAsiaTheme="minorEastAsia"/>
          <w:rtl/>
        </w:rPr>
        <w:t xml:space="preserve"> لعام</w:t>
      </w:r>
      <w:r w:rsidR="007532BE" w:rsidRPr="00696A30">
        <w:rPr>
          <w:rFonts w:eastAsiaTheme="minorEastAsia" w:hint="cs"/>
          <w:rtl/>
        </w:rPr>
        <w:t> </w:t>
      </w:r>
      <w:proofErr w:type="gramStart"/>
      <w:r w:rsidRPr="00E841A5">
        <w:rPr>
          <w:rFonts w:eastAsiaTheme="minorEastAsia"/>
          <w:szCs w:val="20"/>
          <w:rtl/>
        </w:rPr>
        <w:t>2020</w:t>
      </w:r>
      <w:r w:rsidRPr="00696A30">
        <w:rPr>
          <w:rFonts w:eastAsiaTheme="minorEastAsia"/>
          <w:szCs w:val="20"/>
          <w:rtl/>
        </w:rPr>
        <w:t>)</w:t>
      </w:r>
      <w:r w:rsidRPr="00696A30">
        <w:rPr>
          <w:rFonts w:eastAsiaTheme="minorEastAsia"/>
          <w:vertAlign w:val="superscript"/>
          <w:rtl/>
        </w:rPr>
        <w:t>(</w:t>
      </w:r>
      <w:proofErr w:type="gramEnd"/>
      <w:r w:rsidRPr="00E841A5">
        <w:rPr>
          <w:rStyle w:val="EndnoteReference"/>
          <w:rFonts w:eastAsiaTheme="minorEastAsia"/>
          <w:lang w:val="en-US"/>
        </w:rPr>
        <w:endnoteReference w:id="25"/>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3A903EA" w14:textId="4DBF8D17" w:rsidR="00056D32" w:rsidRPr="00696A30" w:rsidRDefault="00056D32" w:rsidP="00056D32">
      <w:pPr>
        <w:pStyle w:val="SingleTxtGA"/>
        <w:rPr>
          <w:rFonts w:eastAsiaTheme="minorEastAsia"/>
          <w:szCs w:val="20"/>
          <w:lang w:val="en-US" w:eastAsia="zh-TW" w:bidi="en-GB"/>
        </w:rPr>
      </w:pPr>
      <w:r w:rsidRPr="00E841A5">
        <w:rPr>
          <w:rFonts w:eastAsiaTheme="minorEastAsia"/>
          <w:szCs w:val="20"/>
          <w:rtl/>
        </w:rPr>
        <w:t>21</w:t>
      </w:r>
      <w:r w:rsidRPr="00696A30">
        <w:rPr>
          <w:rFonts w:eastAsiaTheme="minorEastAsia"/>
          <w:szCs w:val="20"/>
          <w:rtl/>
        </w:rPr>
        <w:t>-</w:t>
      </w:r>
      <w:r w:rsidRPr="00696A30">
        <w:rPr>
          <w:rFonts w:eastAsiaTheme="minorEastAsia"/>
          <w:rtl/>
        </w:rPr>
        <w:tab/>
      </w:r>
      <w:r w:rsidRPr="001620A7">
        <w:rPr>
          <w:rFonts w:eastAsiaTheme="minorEastAsia"/>
          <w:spacing w:val="-2"/>
          <w:rtl/>
        </w:rPr>
        <w:t>وأوصت لجنة حقوق الطفل بأن تكفل الدولة حماية مجتمعات الأمريكيين الهنود والمارون من قطع الأشجار والتعدين غير القانونيين وغير الخاضعين للرقابة، مما يؤثر سلب</w:t>
      </w:r>
      <w:r w:rsidR="004B1A4F" w:rsidRPr="001620A7">
        <w:rPr>
          <w:rFonts w:eastAsiaTheme="minorEastAsia"/>
          <w:spacing w:val="-2"/>
          <w:rtl/>
        </w:rPr>
        <w:t xml:space="preserve">اً </w:t>
      </w:r>
      <w:r w:rsidRPr="001620A7">
        <w:rPr>
          <w:rFonts w:eastAsiaTheme="minorEastAsia"/>
          <w:spacing w:val="-2"/>
          <w:rtl/>
        </w:rPr>
        <w:t>على البيئة في تلك المجتمعات، وذلك باعتماد وإنفاذ تشريعات بشأن الإدارة المستدامة للأراضي بالتشاور مع المجتمعات المحلية، وتعزيز</w:t>
      </w:r>
      <w:r w:rsidRPr="00696A30">
        <w:rPr>
          <w:rFonts w:eastAsiaTheme="minorEastAsia"/>
          <w:rtl/>
        </w:rPr>
        <w:t xml:space="preserve"> المسؤولية الاجتماعية </w:t>
      </w:r>
      <w:proofErr w:type="gramStart"/>
      <w:r w:rsidRPr="00696A30">
        <w:rPr>
          <w:rFonts w:eastAsiaTheme="minorEastAsia"/>
          <w:rtl/>
        </w:rPr>
        <w:t>للشركات</w:t>
      </w:r>
      <w:r w:rsidRPr="00696A30">
        <w:rPr>
          <w:rFonts w:eastAsiaTheme="minorEastAsia"/>
          <w:vertAlign w:val="superscript"/>
          <w:rtl/>
        </w:rPr>
        <w:t>(</w:t>
      </w:r>
      <w:proofErr w:type="gramEnd"/>
      <w:r w:rsidRPr="00E841A5">
        <w:rPr>
          <w:rStyle w:val="EndnoteReference"/>
          <w:rFonts w:eastAsiaTheme="minorEastAsia"/>
          <w:lang w:val="en-US"/>
        </w:rPr>
        <w:endnoteReference w:id="26"/>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16081988" w14:textId="7B8086A6" w:rsidR="00056D32" w:rsidRPr="00E841A5" w:rsidRDefault="00056D32" w:rsidP="00056D32">
      <w:pPr>
        <w:pStyle w:val="H1GA"/>
        <w:rPr>
          <w:rFonts w:eastAsiaTheme="minorEastAsia"/>
          <w:szCs w:val="20"/>
          <w:lang w:val="ar-SA" w:eastAsia="zh-TW" w:bidi="en-GB"/>
        </w:rPr>
      </w:pPr>
      <w:r w:rsidRPr="00E841A5">
        <w:rPr>
          <w:rFonts w:eastAsiaTheme="minorEastAsia"/>
          <w:rtl/>
        </w:rPr>
        <w:tab/>
        <w:t>باء-</w:t>
      </w:r>
      <w:r w:rsidRPr="00E841A5">
        <w:rPr>
          <w:rFonts w:eastAsiaTheme="minorEastAsia"/>
          <w:rtl/>
        </w:rPr>
        <w:tab/>
        <w:t>الحقوق المدنية والسياسية</w:t>
      </w:r>
    </w:p>
    <w:p w14:paraId="4FC821A4" w14:textId="5A4C9D98" w:rsidR="00056D32" w:rsidRPr="00696A30" w:rsidRDefault="002814B5" w:rsidP="00056D32">
      <w:pPr>
        <w:pStyle w:val="H23GA"/>
        <w:rPr>
          <w:rFonts w:eastAsiaTheme="minorEastAsia"/>
          <w:b w:val="0"/>
          <w:bCs w:val="0"/>
          <w:szCs w:val="20"/>
          <w:lang w:val="ar-SA" w:eastAsia="zh-TW" w:bidi="en-GB"/>
        </w:rPr>
      </w:pPr>
      <w:r w:rsidRPr="00E841A5">
        <w:rPr>
          <w:rFonts w:eastAsiaTheme="minorEastAsia"/>
          <w:szCs w:val="20"/>
          <w:rtl/>
        </w:rPr>
        <w:tab/>
      </w:r>
      <w:r w:rsidR="00056D32" w:rsidRPr="00E841A5">
        <w:rPr>
          <w:rFonts w:eastAsiaTheme="minorEastAsia"/>
          <w:szCs w:val="20"/>
          <w:rtl/>
        </w:rPr>
        <w:t>1-</w:t>
      </w:r>
      <w:r w:rsidR="00056D32" w:rsidRPr="00E841A5">
        <w:rPr>
          <w:rFonts w:eastAsiaTheme="minorEastAsia"/>
          <w:rtl/>
        </w:rPr>
        <w:tab/>
        <w:t>حق الفرد في الحياة والحرّية والأمان على شخصه</w:t>
      </w:r>
      <w:r w:rsidR="00056D32" w:rsidRPr="00696A30">
        <w:rPr>
          <w:rFonts w:eastAsiaTheme="minorEastAsia" w:cs="Times New Roman" w:hint="cs"/>
          <w:b w:val="0"/>
          <w:bCs w:val="0"/>
          <w:rtl/>
        </w:rPr>
        <w:t>‬</w:t>
      </w:r>
      <w:r w:rsidR="00056D32" w:rsidRPr="00696A30">
        <w:rPr>
          <w:rStyle w:val="EndnoteReference"/>
          <w:rFonts w:eastAsiaTheme="minorEastAsia"/>
          <w:b w:val="0"/>
          <w:bCs w:val="0"/>
          <w:rtl/>
        </w:rPr>
        <w:t>(</w:t>
      </w:r>
      <w:r w:rsidR="00056D32" w:rsidRPr="00E841A5">
        <w:rPr>
          <w:rStyle w:val="EndnoteReference"/>
          <w:rFonts w:eastAsiaTheme="minorEastAsia"/>
          <w:b w:val="0"/>
          <w:bCs w:val="0"/>
          <w:lang w:val="en-US"/>
        </w:rPr>
        <w:endnoteReference w:id="27"/>
      </w:r>
      <w:r w:rsidR="00056D32" w:rsidRPr="00696A30">
        <w:rPr>
          <w:rStyle w:val="EndnoteReference"/>
          <w:rFonts w:eastAsiaTheme="minorEastAsia"/>
          <w:b w:val="0"/>
          <w:bCs w:val="0"/>
          <w:rtl/>
        </w:rPr>
        <w:t>)</w:t>
      </w:r>
    </w:p>
    <w:p w14:paraId="4BBF6300" w14:textId="000AABAD"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22</w:t>
      </w:r>
      <w:r w:rsidRPr="00696A30">
        <w:rPr>
          <w:rFonts w:eastAsiaTheme="minorEastAsia"/>
          <w:szCs w:val="20"/>
          <w:rtl/>
        </w:rPr>
        <w:t>-</w:t>
      </w:r>
      <w:r w:rsidRPr="00696A30">
        <w:rPr>
          <w:rFonts w:eastAsiaTheme="minorEastAsia"/>
          <w:rtl/>
        </w:rPr>
        <w:tab/>
      </w:r>
      <w:r w:rsidRPr="001620A7">
        <w:rPr>
          <w:rFonts w:eastAsiaTheme="minorEastAsia"/>
          <w:spacing w:val="-2"/>
          <w:rtl/>
        </w:rPr>
        <w:t>ذكر فريق الأمم المتحدة القطري أن ظروف السجون تفي عموم</w:t>
      </w:r>
      <w:r w:rsidR="004B1A4F" w:rsidRPr="001620A7">
        <w:rPr>
          <w:rFonts w:eastAsiaTheme="minorEastAsia"/>
          <w:spacing w:val="-2"/>
          <w:rtl/>
        </w:rPr>
        <w:t xml:space="preserve">اً </w:t>
      </w:r>
      <w:r w:rsidRPr="001620A7">
        <w:rPr>
          <w:rFonts w:eastAsiaTheme="minorEastAsia"/>
          <w:spacing w:val="-2"/>
          <w:rtl/>
        </w:rPr>
        <w:t xml:space="preserve">بالمعايير الدولية، ولكن السجون </w:t>
      </w:r>
      <w:r w:rsidRPr="00696A30">
        <w:rPr>
          <w:rFonts w:eastAsiaTheme="minorEastAsia"/>
          <w:rtl/>
        </w:rPr>
        <w:t xml:space="preserve">لا تزال تعاني من نقص في الموظفين، مع ارتفاع نسب السجناء إلى الحراس. ولا يزال الاكتظاظ إحدى مشاكل زنزانات الاحتجاز المؤقت الملحقة بمراكز الشرطة والتي تديرها الشرطة. وتفتقر الزنزانات القديمة إلى الإضاءة والتهوية الكافيتين، فيما يلا يزال عدد مرافق الصرف الصحي الصالحة </w:t>
      </w:r>
      <w:proofErr w:type="gramStart"/>
      <w:r w:rsidRPr="00696A30">
        <w:rPr>
          <w:rFonts w:eastAsiaTheme="minorEastAsia"/>
          <w:rtl/>
        </w:rPr>
        <w:t>محدودا</w:t>
      </w:r>
      <w:r w:rsidR="004B1A4F" w:rsidRPr="00696A30">
        <w:rPr>
          <w:rFonts w:eastAsiaTheme="minorEastAsia" w:hint="cs"/>
          <w:rtl/>
        </w:rPr>
        <w:t>ً</w:t>
      </w:r>
      <w:r w:rsidRPr="00696A30">
        <w:rPr>
          <w:rFonts w:eastAsiaTheme="minorEastAsia"/>
          <w:vertAlign w:val="superscript"/>
          <w:rtl/>
        </w:rPr>
        <w:t>(</w:t>
      </w:r>
      <w:proofErr w:type="gramEnd"/>
      <w:r w:rsidRPr="00E841A5">
        <w:rPr>
          <w:rStyle w:val="EndnoteReference"/>
          <w:rFonts w:eastAsiaTheme="minorEastAsia"/>
          <w:lang w:val="en-US"/>
        </w:rPr>
        <w:endnoteReference w:id="28"/>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845C95A" w14:textId="2E41EA34" w:rsidR="00056D32" w:rsidRPr="00696A30" w:rsidRDefault="00056D32" w:rsidP="00056D32">
      <w:pPr>
        <w:pStyle w:val="SingleTxtGA"/>
        <w:rPr>
          <w:rFonts w:eastAsiaTheme="minorEastAsia"/>
          <w:spacing w:val="-4"/>
          <w:szCs w:val="20"/>
          <w:lang w:val="ar-SA" w:eastAsia="zh-TW" w:bidi="en-GB"/>
        </w:rPr>
      </w:pPr>
      <w:r w:rsidRPr="00E841A5">
        <w:rPr>
          <w:rFonts w:eastAsiaTheme="minorEastAsia"/>
          <w:szCs w:val="20"/>
          <w:rtl/>
        </w:rPr>
        <w:t>23</w:t>
      </w:r>
      <w:r w:rsidRPr="00696A30">
        <w:rPr>
          <w:rFonts w:eastAsiaTheme="minorEastAsia"/>
          <w:szCs w:val="20"/>
          <w:rtl/>
        </w:rPr>
        <w:t>-</w:t>
      </w:r>
      <w:r w:rsidRPr="00696A30">
        <w:rPr>
          <w:rFonts w:eastAsiaTheme="minorEastAsia"/>
          <w:spacing w:val="-4"/>
          <w:rtl/>
        </w:rPr>
        <w:tab/>
        <w:t>وأوصى الفريق القطري بأن تعتمد الحكومة تدابير لضمان احترام ظروف الاحتجاز لكرامة السجناء، ولا سيما تمشي</w:t>
      </w:r>
      <w:r w:rsidR="004B1A4F" w:rsidRPr="00696A30">
        <w:rPr>
          <w:rFonts w:eastAsiaTheme="minorEastAsia"/>
          <w:spacing w:val="-4"/>
          <w:rtl/>
        </w:rPr>
        <w:t xml:space="preserve">اً </w:t>
      </w:r>
      <w:r w:rsidRPr="00696A30">
        <w:rPr>
          <w:rFonts w:eastAsiaTheme="minorEastAsia"/>
          <w:spacing w:val="-4"/>
          <w:rtl/>
        </w:rPr>
        <w:t xml:space="preserve">مع ‎‎ قواعد الأمم المتحدة النموذجية الدنيا لمعاملة السجناء (قواعد نيلسون </w:t>
      </w:r>
      <w:proofErr w:type="gramStart"/>
      <w:r w:rsidRPr="00696A30">
        <w:rPr>
          <w:rFonts w:eastAsiaTheme="minorEastAsia"/>
          <w:spacing w:val="-4"/>
          <w:rtl/>
        </w:rPr>
        <w:t>مانديلا)</w:t>
      </w:r>
      <w:r w:rsidRPr="00696A30">
        <w:rPr>
          <w:rFonts w:eastAsiaTheme="minorEastAsia"/>
          <w:spacing w:val="-4"/>
          <w:vertAlign w:val="superscript"/>
          <w:rtl/>
        </w:rPr>
        <w:t>(</w:t>
      </w:r>
      <w:proofErr w:type="gramEnd"/>
      <w:r w:rsidRPr="00E841A5">
        <w:rPr>
          <w:rStyle w:val="EndnoteReference"/>
          <w:rFonts w:eastAsiaTheme="minorEastAsia"/>
          <w:spacing w:val="-4"/>
          <w:lang w:val="en-US"/>
        </w:rPr>
        <w:endnoteReference w:id="29"/>
      </w:r>
      <w:r w:rsidR="000E5FB0" w:rsidRPr="00696A30">
        <w:rPr>
          <w:rStyle w:val="EndnoteReference"/>
          <w:rFonts w:eastAsiaTheme="minorEastAsia"/>
          <w:spacing w:val="-4"/>
          <w:rtl/>
        </w:rPr>
        <w:t>)</w:t>
      </w:r>
      <w:r w:rsidR="000E5FB0" w:rsidRPr="00696A30">
        <w:rPr>
          <w:rStyle w:val="EndnoteReference"/>
          <w:rFonts w:eastAsiaTheme="minorEastAsia"/>
          <w:spacing w:val="-4"/>
          <w:vertAlign w:val="baseline"/>
          <w:rtl/>
        </w:rPr>
        <w:t>.</w:t>
      </w:r>
    </w:p>
    <w:p w14:paraId="784A26B5" w14:textId="33E345AD"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lastRenderedPageBreak/>
        <w:t>24</w:t>
      </w:r>
      <w:r w:rsidRPr="00696A30">
        <w:rPr>
          <w:rFonts w:eastAsiaTheme="minorEastAsia"/>
          <w:szCs w:val="20"/>
          <w:rtl/>
        </w:rPr>
        <w:t>-</w:t>
      </w:r>
      <w:r w:rsidRPr="00696A30">
        <w:rPr>
          <w:rFonts w:eastAsiaTheme="minorEastAsia"/>
          <w:rtl/>
        </w:rPr>
        <w:tab/>
        <w:t xml:space="preserve">وأوصى الفريق القطري بأن تكفل الحكومة إيواء الأحداث المحتجزين في مرافق منفصلة عن البالغين، وأن تكفل تطبيق إجراءات ملائمة للأطفال في التعامل مع الأطفال </w:t>
      </w:r>
      <w:proofErr w:type="gramStart"/>
      <w:r w:rsidRPr="00696A30">
        <w:rPr>
          <w:rFonts w:eastAsiaTheme="minorEastAsia"/>
          <w:rtl/>
        </w:rPr>
        <w:t>الجانحين</w:t>
      </w:r>
      <w:r w:rsidRPr="00696A30">
        <w:rPr>
          <w:rFonts w:eastAsiaTheme="minorEastAsia"/>
          <w:vertAlign w:val="superscript"/>
          <w:rtl/>
        </w:rPr>
        <w:t>(</w:t>
      </w:r>
      <w:proofErr w:type="gramEnd"/>
      <w:r w:rsidRPr="00E841A5">
        <w:rPr>
          <w:rStyle w:val="EndnoteReference"/>
          <w:rFonts w:eastAsiaTheme="minorEastAsia"/>
          <w:lang w:val="en-US"/>
        </w:rPr>
        <w:endnoteReference w:id="30"/>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4FBBE39E" w14:textId="3CEC2222" w:rsidR="00056D32" w:rsidRPr="00696A30" w:rsidRDefault="00056D32" w:rsidP="00056D32">
      <w:pPr>
        <w:pStyle w:val="SingleTxtGA"/>
        <w:rPr>
          <w:rFonts w:eastAsiaTheme="minorEastAsia"/>
          <w:szCs w:val="20"/>
          <w:lang w:val="en-US" w:eastAsia="zh-TW" w:bidi="en-GB"/>
        </w:rPr>
      </w:pPr>
      <w:r w:rsidRPr="00E841A5">
        <w:rPr>
          <w:rFonts w:eastAsiaTheme="minorEastAsia"/>
          <w:szCs w:val="20"/>
          <w:rtl/>
        </w:rPr>
        <w:t>25</w:t>
      </w:r>
      <w:r w:rsidRPr="00696A30">
        <w:rPr>
          <w:rFonts w:eastAsiaTheme="minorEastAsia"/>
          <w:szCs w:val="20"/>
          <w:rtl/>
        </w:rPr>
        <w:t>-</w:t>
      </w:r>
      <w:r w:rsidRPr="00696A30">
        <w:rPr>
          <w:rFonts w:eastAsiaTheme="minorEastAsia"/>
          <w:rtl/>
        </w:rPr>
        <w:tab/>
        <w:t xml:space="preserve">وأوصت لجنة حقوق الطفل الدولة بضمان عدم احتجاز الأطفال مع البالغين، وعدم احتجاز الفتيان مع الفتيات، وعدم احتجاز الأطفال في الحبس الانفرادي، وتقيد ظروف الاحتجاز بالمعايير الدولية، بما في ذلك ما يتعلق بالحصول على التعليم والخدمات الصحية، مع التركيز بوجه خاص على سجن سانتا </w:t>
      </w:r>
      <w:proofErr w:type="gramStart"/>
      <w:r w:rsidRPr="00696A30">
        <w:rPr>
          <w:rFonts w:eastAsiaTheme="minorEastAsia"/>
          <w:rtl/>
        </w:rPr>
        <w:t>بوما</w:t>
      </w:r>
      <w:r w:rsidRPr="00696A30">
        <w:rPr>
          <w:rFonts w:eastAsiaTheme="minorEastAsia"/>
          <w:vertAlign w:val="superscript"/>
          <w:rtl/>
        </w:rPr>
        <w:t>(</w:t>
      </w:r>
      <w:proofErr w:type="gramEnd"/>
      <w:r w:rsidRPr="00E841A5">
        <w:rPr>
          <w:rStyle w:val="EndnoteReference"/>
          <w:rFonts w:eastAsiaTheme="minorEastAsia"/>
          <w:lang w:val="en-US"/>
        </w:rPr>
        <w:endnoteReference w:id="31"/>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7617F398" w14:textId="59A0E095" w:rsidR="00056D32" w:rsidRPr="00696A30" w:rsidRDefault="00056D32" w:rsidP="00056D32">
      <w:pPr>
        <w:pStyle w:val="SingleTxtGA"/>
        <w:rPr>
          <w:rFonts w:eastAsiaTheme="minorEastAsia"/>
          <w:szCs w:val="20"/>
          <w:lang w:val="en-US" w:eastAsia="zh-TW" w:bidi="en-GB"/>
        </w:rPr>
      </w:pPr>
      <w:r w:rsidRPr="00E841A5">
        <w:rPr>
          <w:rFonts w:eastAsiaTheme="minorEastAsia"/>
          <w:szCs w:val="20"/>
          <w:rtl/>
        </w:rPr>
        <w:t>26</w:t>
      </w:r>
      <w:r w:rsidRPr="00696A30">
        <w:rPr>
          <w:rFonts w:eastAsiaTheme="minorEastAsia"/>
          <w:szCs w:val="20"/>
          <w:rtl/>
        </w:rPr>
        <w:t>-</w:t>
      </w:r>
      <w:r w:rsidRPr="00696A30">
        <w:rPr>
          <w:rFonts w:eastAsiaTheme="minorEastAsia"/>
          <w:rtl/>
        </w:rPr>
        <w:tab/>
        <w:t>وكررت اللجنة نفسها توصيتها السابقة بأن تعدل الدولة تشريعاتها بحيث تحظر صراحة العقوبة</w:t>
      </w:r>
      <w:r w:rsidR="007532BE" w:rsidRPr="00696A30">
        <w:rPr>
          <w:rFonts w:eastAsiaTheme="minorEastAsia" w:hint="cs"/>
          <w:rtl/>
        </w:rPr>
        <w:t> </w:t>
      </w:r>
      <w:r w:rsidRPr="00696A30">
        <w:rPr>
          <w:rFonts w:eastAsiaTheme="minorEastAsia"/>
          <w:rtl/>
        </w:rPr>
        <w:t>البدنية في جميع الأماكن، بما في ذلك داخل الأسرة، وفي مرافق الرعاية النهارية ومرافق الرعاية بعد الدوام</w:t>
      </w:r>
      <w:r w:rsidR="007532BE" w:rsidRPr="00696A30">
        <w:rPr>
          <w:rFonts w:eastAsiaTheme="minorEastAsia" w:hint="cs"/>
          <w:rtl/>
        </w:rPr>
        <w:t> </w:t>
      </w:r>
      <w:r w:rsidRPr="00696A30">
        <w:rPr>
          <w:rFonts w:eastAsiaTheme="minorEastAsia"/>
          <w:rtl/>
        </w:rPr>
        <w:t>المدرسي، وفي المدارس وبيئات الرعاية البديلة، وبيئات الرعاية في المؤسسات، وفي المؤسسات</w:t>
      </w:r>
      <w:r w:rsidR="007532BE" w:rsidRPr="00696A30">
        <w:rPr>
          <w:rFonts w:eastAsiaTheme="minorEastAsia" w:hint="cs"/>
          <w:rtl/>
        </w:rPr>
        <w:t> </w:t>
      </w:r>
      <w:proofErr w:type="gramStart"/>
      <w:r w:rsidRPr="00696A30">
        <w:rPr>
          <w:rFonts w:eastAsiaTheme="minorEastAsia"/>
          <w:rtl/>
        </w:rPr>
        <w:t>العقابية</w:t>
      </w:r>
      <w:r w:rsidRPr="00696A30">
        <w:rPr>
          <w:rFonts w:eastAsiaTheme="minorEastAsia"/>
          <w:vertAlign w:val="superscript"/>
          <w:rtl/>
        </w:rPr>
        <w:t>(</w:t>
      </w:r>
      <w:proofErr w:type="gramEnd"/>
      <w:r w:rsidRPr="00E841A5">
        <w:rPr>
          <w:rStyle w:val="EndnoteReference"/>
          <w:rFonts w:eastAsiaTheme="minorEastAsia"/>
          <w:lang w:val="en-US"/>
        </w:rPr>
        <w:endnoteReference w:id="32"/>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FE90E33" w14:textId="5DFB6819" w:rsidR="00056D32" w:rsidRPr="00E841A5" w:rsidRDefault="00056D32" w:rsidP="00056D32">
      <w:pPr>
        <w:pStyle w:val="H23GA"/>
        <w:rPr>
          <w:rFonts w:eastAsiaTheme="minorEastAsia"/>
          <w:szCs w:val="20"/>
          <w:lang w:val="en-US" w:eastAsia="zh-TW" w:bidi="en-GB"/>
        </w:rPr>
      </w:pPr>
      <w:r w:rsidRPr="00E841A5">
        <w:rPr>
          <w:rFonts w:eastAsiaTheme="minorEastAsia"/>
          <w:szCs w:val="20"/>
          <w:rtl/>
        </w:rPr>
        <w:tab/>
        <w:t>2-</w:t>
      </w:r>
      <w:r w:rsidRPr="00E841A5">
        <w:rPr>
          <w:rFonts w:eastAsiaTheme="minorEastAsia"/>
          <w:rtl/>
        </w:rPr>
        <w:tab/>
        <w:t>إقامة العدل، بما في ذلك مسألة الإفلات من العقاب، وسيادة القانون</w:t>
      </w:r>
      <w:r w:rsidRPr="00696A30">
        <w:rPr>
          <w:rStyle w:val="EndnoteReference"/>
          <w:rFonts w:eastAsiaTheme="minorEastAsia"/>
          <w:b w:val="0"/>
          <w:bCs w:val="0"/>
          <w:rtl/>
        </w:rPr>
        <w:t>(</w:t>
      </w:r>
      <w:r w:rsidRPr="00E841A5">
        <w:rPr>
          <w:rStyle w:val="EndnoteReference"/>
          <w:rFonts w:eastAsiaTheme="minorEastAsia"/>
          <w:b w:val="0"/>
          <w:bCs w:val="0"/>
          <w:lang w:val="en-US"/>
        </w:rPr>
        <w:endnoteReference w:id="33"/>
      </w:r>
      <w:r w:rsidRPr="00696A30">
        <w:rPr>
          <w:rStyle w:val="EndnoteReference"/>
          <w:rFonts w:eastAsiaTheme="minorEastAsia"/>
          <w:b w:val="0"/>
          <w:bCs w:val="0"/>
          <w:rtl/>
        </w:rPr>
        <w:t>)</w:t>
      </w:r>
    </w:p>
    <w:p w14:paraId="7AD2774A" w14:textId="0FFF6E16"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27</w:t>
      </w:r>
      <w:r w:rsidRPr="00696A30">
        <w:rPr>
          <w:rFonts w:eastAsiaTheme="minorEastAsia"/>
          <w:szCs w:val="20"/>
          <w:rtl/>
        </w:rPr>
        <w:t>-</w:t>
      </w:r>
      <w:r w:rsidRPr="00696A30">
        <w:rPr>
          <w:rFonts w:eastAsiaTheme="minorEastAsia"/>
          <w:rtl/>
        </w:rPr>
        <w:tab/>
        <w:t>ذكر فريق الأمم المتحدة القطري أن عدد القضاة غير كاف للنظر في القضايا الجنائية والمدنية. ولم يكن لدى منظمات قطاع العدل سوى استقلال ضئيل جد</w:t>
      </w:r>
      <w:r w:rsidR="004B1A4F" w:rsidRPr="00696A30">
        <w:rPr>
          <w:rFonts w:eastAsiaTheme="minorEastAsia"/>
          <w:rtl/>
        </w:rPr>
        <w:t xml:space="preserve">اً </w:t>
      </w:r>
      <w:r w:rsidRPr="00696A30">
        <w:rPr>
          <w:rFonts w:eastAsiaTheme="minorEastAsia"/>
          <w:rtl/>
        </w:rPr>
        <w:t xml:space="preserve">في الميزانية، في حين أن ميزانيات المحاكم والمدعين العامين والشرطة والسجون تديرها وزارة </w:t>
      </w:r>
      <w:proofErr w:type="gramStart"/>
      <w:r w:rsidRPr="00696A30">
        <w:rPr>
          <w:rFonts w:eastAsiaTheme="minorEastAsia"/>
          <w:rtl/>
        </w:rPr>
        <w:t>العدل</w:t>
      </w:r>
      <w:r w:rsidRPr="00696A30">
        <w:rPr>
          <w:rFonts w:eastAsiaTheme="minorEastAsia"/>
          <w:vertAlign w:val="superscript"/>
          <w:rtl/>
        </w:rPr>
        <w:t>(</w:t>
      </w:r>
      <w:proofErr w:type="gramEnd"/>
      <w:r w:rsidRPr="00E841A5">
        <w:rPr>
          <w:rStyle w:val="EndnoteReference"/>
          <w:rFonts w:eastAsiaTheme="minorEastAsia"/>
          <w:lang w:val="en-US"/>
        </w:rPr>
        <w:endnoteReference w:id="34"/>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77375DFF" w14:textId="348AFC9E"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28</w:t>
      </w:r>
      <w:r w:rsidRPr="00696A30">
        <w:rPr>
          <w:rFonts w:eastAsiaTheme="minorEastAsia"/>
          <w:szCs w:val="20"/>
          <w:rtl/>
        </w:rPr>
        <w:t>-</w:t>
      </w:r>
      <w:r w:rsidRPr="00696A30">
        <w:rPr>
          <w:rFonts w:eastAsiaTheme="minorEastAsia"/>
          <w:rtl/>
        </w:rPr>
        <w:tab/>
        <w:t xml:space="preserve">وأوصى الفريق القطري بأن تضع الحكومة وتنفذ برامج تثقيفية في مجال حقوق الإنسان لفائدة موظفي إنفاذ </w:t>
      </w:r>
      <w:proofErr w:type="gramStart"/>
      <w:r w:rsidRPr="00696A30">
        <w:rPr>
          <w:rFonts w:eastAsiaTheme="minorEastAsia"/>
          <w:rtl/>
        </w:rPr>
        <w:t>القانون</w:t>
      </w:r>
      <w:r w:rsidRPr="00696A30">
        <w:rPr>
          <w:rFonts w:eastAsiaTheme="minorEastAsia"/>
          <w:vertAlign w:val="superscript"/>
          <w:rtl/>
        </w:rPr>
        <w:t>(</w:t>
      </w:r>
      <w:proofErr w:type="gramEnd"/>
      <w:r w:rsidRPr="00E841A5">
        <w:rPr>
          <w:rStyle w:val="EndnoteReference"/>
          <w:rFonts w:eastAsiaTheme="minorEastAsia"/>
          <w:lang w:val="en-US"/>
        </w:rPr>
        <w:endnoteReference w:id="35"/>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221DF341" w14:textId="553E910A"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29</w:t>
      </w:r>
      <w:r w:rsidRPr="00696A30">
        <w:rPr>
          <w:rFonts w:eastAsiaTheme="minorEastAsia"/>
          <w:szCs w:val="20"/>
          <w:rtl/>
        </w:rPr>
        <w:t>-</w:t>
      </w:r>
      <w:r w:rsidRPr="00696A30">
        <w:rPr>
          <w:rFonts w:eastAsiaTheme="minorEastAsia"/>
          <w:rtl/>
        </w:rPr>
        <w:tab/>
        <w:t>وأوصت لجنة حقوق الطفل بأن تكفل الدولة حماية نظام قضاء الأحداث لجميع الأطفال دون سن الثامنة عشرة، وبأن تعزز العدالة التصالحية والتدابير البديلة للاحتجاز، مع مراعاة البرامج المتمايزة جنساني</w:t>
      </w:r>
      <w:r w:rsidR="004B1A4F" w:rsidRPr="00696A30">
        <w:rPr>
          <w:rFonts w:eastAsiaTheme="minorEastAsia"/>
          <w:rtl/>
        </w:rPr>
        <w:t xml:space="preserve">اً </w:t>
      </w:r>
      <w:r w:rsidRPr="00696A30">
        <w:rPr>
          <w:rFonts w:eastAsiaTheme="minorEastAsia"/>
          <w:rtl/>
        </w:rPr>
        <w:t>للفتيان والفتيات المخالفين للقانون، مثل التحويل، أو وقف تنفيذ الحكم والوضع تحت المراقبة، أو</w:t>
      </w:r>
      <w:r w:rsidR="00861BA0" w:rsidRPr="00696A30">
        <w:rPr>
          <w:rFonts w:eastAsiaTheme="minorEastAsia" w:hint="cs"/>
          <w:rtl/>
        </w:rPr>
        <w:t> </w:t>
      </w:r>
      <w:r w:rsidRPr="00696A30">
        <w:rPr>
          <w:rFonts w:eastAsiaTheme="minorEastAsia"/>
          <w:rtl/>
        </w:rPr>
        <w:t>الوساطة، أو الإرشاد أو خدمة المجتمع. وأوصت أيض</w:t>
      </w:r>
      <w:r w:rsidR="004B1A4F" w:rsidRPr="00696A30">
        <w:rPr>
          <w:rFonts w:eastAsiaTheme="minorEastAsia"/>
          <w:rtl/>
        </w:rPr>
        <w:t xml:space="preserve">اً </w:t>
      </w:r>
      <w:r w:rsidRPr="00696A30">
        <w:rPr>
          <w:rFonts w:eastAsiaTheme="minorEastAsia"/>
          <w:rtl/>
        </w:rPr>
        <w:t>بأن تضمن الدولة عدم اللجوء إلى الاحتجاز إلاّ كحل أخير ولأقصر مدة زمنية ممكنة، ومراجعته على أساس منتظم بهدف إنهائه</w:t>
      </w:r>
      <w:r w:rsidRPr="00696A30">
        <w:rPr>
          <w:rStyle w:val="EndnoteReference"/>
          <w:rFonts w:eastAsiaTheme="minorEastAsia"/>
          <w:rtl/>
        </w:rPr>
        <w:t>(</w:t>
      </w:r>
      <w:r w:rsidRPr="00E841A5">
        <w:rPr>
          <w:rStyle w:val="EndnoteReference"/>
          <w:rFonts w:eastAsiaTheme="minorEastAsia"/>
          <w:lang w:val="en-US"/>
        </w:rPr>
        <w:endnoteReference w:id="36"/>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7209C294" w14:textId="2F31575E" w:rsidR="00056D32" w:rsidRPr="00E841A5" w:rsidRDefault="00056D32" w:rsidP="00056D32">
      <w:pPr>
        <w:pStyle w:val="H23GA"/>
        <w:rPr>
          <w:rFonts w:eastAsiaTheme="minorEastAsia"/>
          <w:szCs w:val="20"/>
          <w:lang w:val="en-US" w:eastAsia="zh-TW" w:bidi="en-GB"/>
        </w:rPr>
      </w:pPr>
      <w:r w:rsidRPr="00E841A5">
        <w:rPr>
          <w:rFonts w:eastAsiaTheme="minorEastAsia"/>
          <w:szCs w:val="20"/>
          <w:rtl/>
        </w:rPr>
        <w:tab/>
        <w:t>3-</w:t>
      </w:r>
      <w:r w:rsidRPr="00E841A5">
        <w:rPr>
          <w:rFonts w:eastAsiaTheme="minorEastAsia"/>
          <w:rtl/>
        </w:rPr>
        <w:tab/>
        <w:t>الحريات الأساسية</w:t>
      </w:r>
      <w:r w:rsidRPr="00696A30">
        <w:rPr>
          <w:rStyle w:val="EndnoteReference"/>
          <w:rFonts w:eastAsiaTheme="minorEastAsia"/>
          <w:b w:val="0"/>
          <w:bCs w:val="0"/>
          <w:rtl/>
        </w:rPr>
        <w:t>(</w:t>
      </w:r>
      <w:r w:rsidRPr="00E841A5">
        <w:rPr>
          <w:rStyle w:val="EndnoteReference"/>
          <w:rFonts w:eastAsiaTheme="minorEastAsia"/>
          <w:b w:val="0"/>
          <w:bCs w:val="0"/>
          <w:lang w:val="en-US"/>
        </w:rPr>
        <w:endnoteReference w:id="37"/>
      </w:r>
      <w:r w:rsidRPr="00696A30">
        <w:rPr>
          <w:rStyle w:val="EndnoteReference"/>
          <w:rFonts w:eastAsiaTheme="minorEastAsia"/>
          <w:b w:val="0"/>
          <w:bCs w:val="0"/>
          <w:rtl/>
        </w:rPr>
        <w:t>)</w:t>
      </w:r>
    </w:p>
    <w:p w14:paraId="7B7A89EB" w14:textId="5D621104"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30</w:t>
      </w:r>
      <w:r w:rsidRPr="00696A30">
        <w:rPr>
          <w:rFonts w:eastAsiaTheme="minorEastAsia"/>
          <w:szCs w:val="20"/>
          <w:rtl/>
        </w:rPr>
        <w:t>-</w:t>
      </w:r>
      <w:r w:rsidRPr="00696A30">
        <w:rPr>
          <w:rFonts w:eastAsiaTheme="minorEastAsia"/>
          <w:rtl/>
        </w:rPr>
        <w:tab/>
        <w:t>ذكرت اليونسكو أن التشهير يعتبر جريمة جنائية في سورينام ويمكن أن يعاقب عليه بغرامات أو</w:t>
      </w:r>
      <w:r w:rsidR="003949EA" w:rsidRPr="00696A30">
        <w:rPr>
          <w:rFonts w:eastAsiaTheme="minorEastAsia" w:hint="cs"/>
          <w:rtl/>
        </w:rPr>
        <w:t> </w:t>
      </w:r>
      <w:r w:rsidRPr="00696A30">
        <w:rPr>
          <w:rFonts w:eastAsiaTheme="minorEastAsia"/>
          <w:rtl/>
        </w:rPr>
        <w:t xml:space="preserve">بالسجن لمدة تصل إلى ثلاث سنوات. وأوصت اليونسكو بأن تنزع الحكومة الصفة الجرمية عن التشهير وأن تدرجه في قانون مدني يتوافق مع المعايير </w:t>
      </w:r>
      <w:proofErr w:type="gramStart"/>
      <w:r w:rsidRPr="00696A30">
        <w:rPr>
          <w:rFonts w:eastAsiaTheme="minorEastAsia"/>
          <w:rtl/>
        </w:rPr>
        <w:t>الدولية</w:t>
      </w:r>
      <w:r w:rsidRPr="00696A30">
        <w:rPr>
          <w:rFonts w:eastAsiaTheme="minorEastAsia"/>
          <w:vertAlign w:val="superscript"/>
          <w:rtl/>
        </w:rPr>
        <w:t>(</w:t>
      </w:r>
      <w:proofErr w:type="gramEnd"/>
      <w:r w:rsidRPr="00E841A5">
        <w:rPr>
          <w:rStyle w:val="EndnoteReference"/>
          <w:rFonts w:eastAsiaTheme="minorEastAsia"/>
          <w:lang w:val="en-US"/>
        </w:rPr>
        <w:endnoteReference w:id="38"/>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2709FAC7" w14:textId="4DD74A7D"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31</w:t>
      </w:r>
      <w:r w:rsidRPr="00696A30">
        <w:rPr>
          <w:rFonts w:eastAsiaTheme="minorEastAsia"/>
          <w:szCs w:val="20"/>
          <w:rtl/>
        </w:rPr>
        <w:t>-</w:t>
      </w:r>
      <w:r w:rsidRPr="00696A30">
        <w:rPr>
          <w:rFonts w:eastAsiaTheme="minorEastAsia"/>
          <w:rtl/>
        </w:rPr>
        <w:tab/>
        <w:t xml:space="preserve">وأشارت اليونسكو إلى وجود تشريع بشأن حرية الإعلام في سورينام، وشجعت الحكومة على سن قانون بهذا الشأن يتفق مع المعايير </w:t>
      </w:r>
      <w:proofErr w:type="gramStart"/>
      <w:r w:rsidRPr="00696A30">
        <w:rPr>
          <w:rFonts w:eastAsiaTheme="minorEastAsia"/>
          <w:rtl/>
        </w:rPr>
        <w:t>الدولية</w:t>
      </w:r>
      <w:r w:rsidRPr="00696A30">
        <w:rPr>
          <w:rFonts w:eastAsiaTheme="minorEastAsia"/>
          <w:vertAlign w:val="superscript"/>
          <w:rtl/>
        </w:rPr>
        <w:t>(</w:t>
      </w:r>
      <w:proofErr w:type="gramEnd"/>
      <w:r w:rsidRPr="00E841A5">
        <w:rPr>
          <w:rStyle w:val="EndnoteReference"/>
          <w:rFonts w:eastAsiaTheme="minorEastAsia"/>
          <w:lang w:val="en-US"/>
        </w:rPr>
        <w:endnoteReference w:id="39"/>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44E66841" w14:textId="789B839E"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32</w:t>
      </w:r>
      <w:r w:rsidRPr="00696A30">
        <w:rPr>
          <w:rFonts w:eastAsiaTheme="minorEastAsia"/>
          <w:szCs w:val="20"/>
          <w:rtl/>
        </w:rPr>
        <w:t>-</w:t>
      </w:r>
      <w:r w:rsidRPr="00696A30">
        <w:rPr>
          <w:rFonts w:eastAsiaTheme="minorEastAsia"/>
          <w:rtl/>
        </w:rPr>
        <w:tab/>
        <w:t>وأشارت اليونسكو إلى ضرورة أن تتيح الحكومة إقامة بيئة إعلامية تعزز نُهُج التنظيم الذاتي واستقلال وسائط الإعلام، بسبل منها إنشاء هيئة مستقلة لتنظيم وسائط الإعلام، بما يتماشى مع المعايير</w:t>
      </w:r>
      <w:r w:rsidR="007532BE" w:rsidRPr="00696A30">
        <w:rPr>
          <w:rFonts w:eastAsiaTheme="minorEastAsia" w:hint="cs"/>
          <w:rtl/>
        </w:rPr>
        <w:t> </w:t>
      </w:r>
      <w:proofErr w:type="gramStart"/>
      <w:r w:rsidRPr="00696A30">
        <w:rPr>
          <w:rFonts w:eastAsiaTheme="minorEastAsia"/>
          <w:rtl/>
        </w:rPr>
        <w:t>الدولية</w:t>
      </w:r>
      <w:r w:rsidRPr="00696A30">
        <w:rPr>
          <w:rFonts w:eastAsiaTheme="minorEastAsia"/>
          <w:vertAlign w:val="superscript"/>
          <w:rtl/>
        </w:rPr>
        <w:t>(</w:t>
      </w:r>
      <w:proofErr w:type="gramEnd"/>
      <w:r w:rsidRPr="00E841A5">
        <w:rPr>
          <w:rStyle w:val="EndnoteReference"/>
          <w:rFonts w:eastAsiaTheme="minorEastAsia"/>
          <w:lang w:val="en-US"/>
        </w:rPr>
        <w:endnoteReference w:id="40"/>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63A55C9" w14:textId="651AC359"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33</w:t>
      </w:r>
      <w:r w:rsidRPr="00696A30">
        <w:rPr>
          <w:rFonts w:eastAsiaTheme="minorEastAsia"/>
          <w:szCs w:val="20"/>
          <w:rtl/>
        </w:rPr>
        <w:t>-</w:t>
      </w:r>
      <w:r w:rsidRPr="00696A30">
        <w:rPr>
          <w:rFonts w:eastAsiaTheme="minorEastAsia"/>
          <w:rtl/>
        </w:rPr>
        <w:tab/>
        <w:t>وطلبت ‎لجنة الخبراء المعنية بتطبيق الاتفاقيات والتوصيات‏‏ في منظمة العمل الدولية إلى الحكومة أن تكفل، في القانون والممارسة، عدم فرض عقوبات تنطوي على العمل الإلزامي بسبب التعبير عن آراء سياسية وأيديولوجية</w:t>
      </w:r>
      <w:r w:rsidRPr="00696A30">
        <w:rPr>
          <w:rStyle w:val="EndnoteReference"/>
          <w:rFonts w:eastAsiaTheme="minorEastAsia"/>
          <w:rtl/>
        </w:rPr>
        <w:t>(</w:t>
      </w:r>
      <w:r w:rsidRPr="00E841A5">
        <w:rPr>
          <w:rStyle w:val="EndnoteReference"/>
          <w:rFonts w:eastAsiaTheme="minorEastAsia"/>
          <w:lang w:val="en-US"/>
        </w:rPr>
        <w:endnoteReference w:id="41"/>
      </w:r>
      <w:r w:rsidRPr="00696A30">
        <w:rPr>
          <w:rStyle w:val="EndnoteReference"/>
          <w:rFonts w:eastAsiaTheme="minorEastAsia"/>
          <w:rtl/>
        </w:rPr>
        <w:t>)</w:t>
      </w:r>
      <w:r w:rsidRPr="00696A30">
        <w:rPr>
          <w:rFonts w:eastAsiaTheme="minorEastAsia"/>
          <w:rtl/>
        </w:rPr>
        <w:t>.</w:t>
      </w:r>
    </w:p>
    <w:p w14:paraId="16F9E780" w14:textId="2CE93E4A" w:rsidR="00056D32" w:rsidRPr="00E841A5" w:rsidRDefault="00056D32" w:rsidP="00056D32">
      <w:pPr>
        <w:pStyle w:val="H23GA"/>
        <w:rPr>
          <w:rFonts w:eastAsiaTheme="minorEastAsia"/>
          <w:szCs w:val="20"/>
          <w:lang w:val="ar-SA" w:eastAsia="zh-TW" w:bidi="en-GB"/>
        </w:rPr>
      </w:pPr>
      <w:r w:rsidRPr="00E841A5">
        <w:rPr>
          <w:rFonts w:eastAsiaTheme="minorEastAsia"/>
          <w:szCs w:val="20"/>
          <w:rtl/>
        </w:rPr>
        <w:lastRenderedPageBreak/>
        <w:tab/>
        <w:t>4-</w:t>
      </w:r>
      <w:r w:rsidRPr="00E841A5">
        <w:rPr>
          <w:rFonts w:eastAsiaTheme="minorEastAsia"/>
          <w:rtl/>
        </w:rPr>
        <w:tab/>
        <w:t>حظر جميع أشكال الرق</w:t>
      </w:r>
      <w:r w:rsidRPr="00696A30">
        <w:rPr>
          <w:rStyle w:val="EndnoteReference"/>
          <w:rFonts w:eastAsiaTheme="minorEastAsia"/>
          <w:b w:val="0"/>
          <w:bCs w:val="0"/>
          <w:rtl/>
        </w:rPr>
        <w:t>(</w:t>
      </w:r>
      <w:r w:rsidRPr="00E841A5">
        <w:rPr>
          <w:rStyle w:val="EndnoteReference"/>
          <w:rFonts w:eastAsiaTheme="minorEastAsia"/>
          <w:b w:val="0"/>
          <w:bCs w:val="0"/>
          <w:lang w:val="en-US"/>
        </w:rPr>
        <w:endnoteReference w:id="42"/>
      </w:r>
      <w:r w:rsidRPr="00696A30">
        <w:rPr>
          <w:rStyle w:val="EndnoteReference"/>
          <w:rFonts w:eastAsiaTheme="minorEastAsia"/>
          <w:b w:val="0"/>
          <w:bCs w:val="0"/>
          <w:rtl/>
        </w:rPr>
        <w:t>)</w:t>
      </w:r>
    </w:p>
    <w:p w14:paraId="0C32C70F" w14:textId="02C80FF7"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34</w:t>
      </w:r>
      <w:r w:rsidRPr="00696A30">
        <w:rPr>
          <w:rFonts w:eastAsiaTheme="minorEastAsia"/>
          <w:szCs w:val="20"/>
          <w:rtl/>
        </w:rPr>
        <w:t>-</w:t>
      </w:r>
      <w:r w:rsidRPr="00696A30">
        <w:rPr>
          <w:rFonts w:eastAsiaTheme="minorEastAsia"/>
          <w:rtl/>
        </w:rPr>
        <w:tab/>
        <w:t xml:space="preserve">أعربت لجنة حقوق الطفل عن قلقها البالغ لأن الدولة بلد مصدر وعبور ومقصد للأطفال الذين يتعرضون للاتجار بالجنس، ولا سيما الفتيات من مجتمعات الهنود الأمريكيين والمارون في المناطق التي تجري فيها عمليات التعدين والغابات. وأعربت عن قلقها البالغ إزاء التقارير التي تفيد بإكراه الأطفال على العمل في تجارة الجنس، بما في ذلك السياحة الجنسية، والدعارة بالإكراه والعمل القسري في </w:t>
      </w:r>
      <w:proofErr w:type="gramStart"/>
      <w:r w:rsidRPr="00696A30">
        <w:rPr>
          <w:rFonts w:eastAsiaTheme="minorEastAsia"/>
          <w:rtl/>
        </w:rPr>
        <w:t>الدولة</w:t>
      </w:r>
      <w:r w:rsidRPr="00696A30">
        <w:rPr>
          <w:rFonts w:eastAsiaTheme="minorEastAsia"/>
          <w:vertAlign w:val="superscript"/>
          <w:rtl/>
        </w:rPr>
        <w:t>(</w:t>
      </w:r>
      <w:proofErr w:type="gramEnd"/>
      <w:r w:rsidRPr="00E841A5">
        <w:rPr>
          <w:rStyle w:val="EndnoteReference"/>
          <w:rFonts w:eastAsiaTheme="minorEastAsia"/>
          <w:lang w:val="en-US"/>
        </w:rPr>
        <w:endnoteReference w:id="43"/>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130B4EB6" w14:textId="723E105D"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35</w:t>
      </w:r>
      <w:r w:rsidRPr="00696A30">
        <w:rPr>
          <w:rFonts w:eastAsiaTheme="minorEastAsia"/>
          <w:szCs w:val="20"/>
          <w:rtl/>
        </w:rPr>
        <w:t>-</w:t>
      </w:r>
      <w:r w:rsidRPr="00696A30">
        <w:rPr>
          <w:rFonts w:eastAsiaTheme="minorEastAsia"/>
          <w:rtl/>
        </w:rPr>
        <w:tab/>
        <w:t xml:space="preserve">وذكر فريق الأمم المتحدة القطري أن حالات الاتجار المبلغ عنها في المناطق الداخلية النائية من الأدغال في الدولة قد ازدادت في السنوات الأخيرة وأن الوجود الحكومي المحدود في المناطق الداخلية جعل من الصعب تحديد النطاق الكامل لهذه العمليات. وأضاف أن الاتجار بالأشخاص، ولا سيما النساء والأطفال، لا يزال يشكل مصدر قلق بسبب عدم وضع نهج كامل ومنسق لمنع الاتجار وحماية ضحاياه في </w:t>
      </w:r>
      <w:proofErr w:type="gramStart"/>
      <w:r w:rsidRPr="00696A30">
        <w:rPr>
          <w:rFonts w:eastAsiaTheme="minorEastAsia"/>
          <w:rtl/>
        </w:rPr>
        <w:t>المنطقة</w:t>
      </w:r>
      <w:r w:rsidRPr="00696A30">
        <w:rPr>
          <w:rFonts w:eastAsiaTheme="minorEastAsia"/>
          <w:vertAlign w:val="superscript"/>
          <w:rtl/>
        </w:rPr>
        <w:t>(</w:t>
      </w:r>
      <w:proofErr w:type="gramEnd"/>
      <w:r w:rsidRPr="00E841A5">
        <w:rPr>
          <w:rStyle w:val="EndnoteReference"/>
          <w:rFonts w:eastAsiaTheme="minorEastAsia"/>
          <w:lang w:val="en-US"/>
        </w:rPr>
        <w:endnoteReference w:id="44"/>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33D761CD" w14:textId="652BBF3F"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36</w:t>
      </w:r>
      <w:r w:rsidRPr="00696A30">
        <w:rPr>
          <w:rFonts w:eastAsiaTheme="minorEastAsia"/>
          <w:szCs w:val="20"/>
          <w:rtl/>
        </w:rPr>
        <w:t>-</w:t>
      </w:r>
      <w:r w:rsidRPr="00696A30">
        <w:rPr>
          <w:rFonts w:eastAsiaTheme="minorEastAsia"/>
          <w:rtl/>
        </w:rPr>
        <w:tab/>
        <w:t xml:space="preserve">وأشار الفريق القطري إلى عدم وجود مأوى مخصص لضحايا الاتجار. وقد قبل مأوى مخصص لضحايا العنف العائلي ضحايا الاتجار من الإناث والأطفال لكنه لم يقبل الضحايا </w:t>
      </w:r>
      <w:proofErr w:type="gramStart"/>
      <w:r w:rsidRPr="00696A30">
        <w:rPr>
          <w:rFonts w:eastAsiaTheme="minorEastAsia"/>
          <w:rtl/>
        </w:rPr>
        <w:t>الذكور</w:t>
      </w:r>
      <w:r w:rsidRPr="00696A30">
        <w:rPr>
          <w:rFonts w:eastAsiaTheme="minorEastAsia"/>
          <w:vertAlign w:val="superscript"/>
          <w:rtl/>
        </w:rPr>
        <w:t>(</w:t>
      </w:r>
      <w:proofErr w:type="gramEnd"/>
      <w:r w:rsidRPr="00E841A5">
        <w:rPr>
          <w:rStyle w:val="EndnoteReference"/>
          <w:rFonts w:eastAsiaTheme="minorEastAsia"/>
          <w:shd w:val="clear" w:color="auto" w:fill="FFFFFF"/>
          <w:lang w:val="en-US"/>
        </w:rPr>
        <w:endnoteReference w:id="45"/>
      </w:r>
      <w:r w:rsidR="000E5FB0" w:rsidRPr="00696A30">
        <w:rPr>
          <w:rStyle w:val="EndnoteReference"/>
          <w:rFonts w:eastAsiaTheme="minorEastAsia"/>
          <w:shd w:val="clear" w:color="auto" w:fill="FFFFFF"/>
          <w:rtl/>
        </w:rPr>
        <w:t>)</w:t>
      </w:r>
      <w:r w:rsidR="000E5FB0" w:rsidRPr="00696A30">
        <w:rPr>
          <w:rStyle w:val="EndnoteReference"/>
          <w:rFonts w:eastAsiaTheme="minorEastAsia"/>
          <w:shd w:val="clear" w:color="auto" w:fill="FFFFFF"/>
          <w:vertAlign w:val="baseline"/>
          <w:rtl/>
        </w:rPr>
        <w:t>.</w:t>
      </w:r>
    </w:p>
    <w:p w14:paraId="68CFCC76" w14:textId="647B61FF"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37</w:t>
      </w:r>
      <w:r w:rsidRPr="00696A30">
        <w:rPr>
          <w:rFonts w:eastAsiaTheme="minorEastAsia"/>
          <w:szCs w:val="20"/>
          <w:rtl/>
        </w:rPr>
        <w:t>-</w:t>
      </w:r>
      <w:r w:rsidRPr="00696A30">
        <w:rPr>
          <w:rFonts w:eastAsiaTheme="minorEastAsia"/>
          <w:rtl/>
        </w:rPr>
        <w:tab/>
      </w:r>
      <w:r w:rsidRPr="001620A7">
        <w:rPr>
          <w:rFonts w:eastAsiaTheme="minorEastAsia"/>
          <w:spacing w:val="-2"/>
          <w:rtl/>
        </w:rPr>
        <w:t>وأوصت اللجنة المعنية بالقضاء على التمييز ضد المرأة بأن تنشئ الدولة عدد</w:t>
      </w:r>
      <w:r w:rsidR="004B1A4F" w:rsidRPr="001620A7">
        <w:rPr>
          <w:rFonts w:eastAsiaTheme="minorEastAsia"/>
          <w:spacing w:val="-2"/>
          <w:rtl/>
        </w:rPr>
        <w:t xml:space="preserve">اً </w:t>
      </w:r>
      <w:r w:rsidRPr="001620A7">
        <w:rPr>
          <w:rFonts w:eastAsiaTheme="minorEastAsia"/>
          <w:spacing w:val="-2"/>
          <w:rtl/>
        </w:rPr>
        <w:t>كافي</w:t>
      </w:r>
      <w:r w:rsidR="004B1A4F" w:rsidRPr="001620A7">
        <w:rPr>
          <w:rFonts w:eastAsiaTheme="minorEastAsia"/>
          <w:spacing w:val="-2"/>
          <w:rtl/>
        </w:rPr>
        <w:t xml:space="preserve">اً </w:t>
      </w:r>
      <w:r w:rsidRPr="001620A7">
        <w:rPr>
          <w:rFonts w:eastAsiaTheme="minorEastAsia"/>
          <w:spacing w:val="-2"/>
          <w:rtl/>
        </w:rPr>
        <w:t>من الملاجئ</w:t>
      </w:r>
      <w:r w:rsidRPr="00696A30">
        <w:rPr>
          <w:rFonts w:eastAsiaTheme="minorEastAsia"/>
          <w:rtl/>
        </w:rPr>
        <w:t xml:space="preserve"> المجهزة تجهيز</w:t>
      </w:r>
      <w:r w:rsidR="004B1A4F" w:rsidRPr="00696A30">
        <w:rPr>
          <w:rFonts w:eastAsiaTheme="minorEastAsia"/>
          <w:rtl/>
        </w:rPr>
        <w:t xml:space="preserve">اً </w:t>
      </w:r>
      <w:r w:rsidRPr="00696A30">
        <w:rPr>
          <w:rFonts w:eastAsiaTheme="minorEastAsia"/>
          <w:rtl/>
        </w:rPr>
        <w:t>كافي</w:t>
      </w:r>
      <w:r w:rsidR="004B1A4F" w:rsidRPr="00696A30">
        <w:rPr>
          <w:rFonts w:eastAsiaTheme="minorEastAsia"/>
          <w:rtl/>
        </w:rPr>
        <w:t xml:space="preserve">اً </w:t>
      </w:r>
      <w:r w:rsidRPr="00696A30">
        <w:rPr>
          <w:rFonts w:eastAsiaTheme="minorEastAsia"/>
          <w:rtl/>
        </w:rPr>
        <w:t xml:space="preserve">لضحايا الاتجار في مختلف أنحاء </w:t>
      </w:r>
      <w:proofErr w:type="gramStart"/>
      <w:r w:rsidRPr="00696A30">
        <w:rPr>
          <w:rFonts w:eastAsiaTheme="minorEastAsia"/>
          <w:rtl/>
        </w:rPr>
        <w:t>الدولة</w:t>
      </w:r>
      <w:r w:rsidRPr="00696A30">
        <w:rPr>
          <w:rFonts w:eastAsiaTheme="minorEastAsia"/>
          <w:vertAlign w:val="superscript"/>
          <w:rtl/>
        </w:rPr>
        <w:t>(</w:t>
      </w:r>
      <w:proofErr w:type="gramEnd"/>
      <w:r w:rsidRPr="00E841A5">
        <w:rPr>
          <w:rStyle w:val="EndnoteReference"/>
          <w:rFonts w:eastAsiaTheme="minorEastAsia"/>
          <w:lang w:val="en-US"/>
        </w:rPr>
        <w:endnoteReference w:id="46"/>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6E3C6A7" w14:textId="3F86792C" w:rsidR="00056D32" w:rsidRPr="00696A30" w:rsidRDefault="00056D32" w:rsidP="00056D32">
      <w:pPr>
        <w:pStyle w:val="SingleTxtGA"/>
        <w:rPr>
          <w:rFonts w:eastAsiaTheme="minorEastAsia"/>
          <w:szCs w:val="20"/>
          <w:lang w:val="en-US" w:eastAsia="zh-TW" w:bidi="en-GB"/>
        </w:rPr>
      </w:pPr>
      <w:r w:rsidRPr="00E841A5">
        <w:rPr>
          <w:rFonts w:eastAsiaTheme="minorEastAsia"/>
          <w:szCs w:val="20"/>
          <w:rtl/>
        </w:rPr>
        <w:t>38</w:t>
      </w:r>
      <w:r w:rsidRPr="00696A30">
        <w:rPr>
          <w:rFonts w:eastAsiaTheme="minorEastAsia"/>
          <w:szCs w:val="20"/>
          <w:rtl/>
        </w:rPr>
        <w:t>-</w:t>
      </w:r>
      <w:r w:rsidRPr="00696A30">
        <w:rPr>
          <w:rFonts w:eastAsiaTheme="minorEastAsia"/>
          <w:rtl/>
        </w:rPr>
        <w:tab/>
        <w:t xml:space="preserve">وأوصت اللجنة نفسها بأن تحقق الدولة مع مرتكبي هذه الجرائم وتلاحقهم وتعاقبهم على نحو ملائم، وأن تكفل إعفاء ضحايا الاتجار والدعارة من المسؤولية الجنائية وتوفر الحماية الكافية وسبل الانتصاف والتعويضات لهم، بما في ذلك تصاريح الإقامة المؤقتة، والرعاية الطبية، والمشورة النفسية والاجتماعية، وإعادة التأهيل، والدعم في مجال الإدماج </w:t>
      </w:r>
      <w:proofErr w:type="gramStart"/>
      <w:r w:rsidRPr="00696A30">
        <w:rPr>
          <w:rFonts w:eastAsiaTheme="minorEastAsia"/>
          <w:rtl/>
        </w:rPr>
        <w:t>والتعويض</w:t>
      </w:r>
      <w:r w:rsidRPr="00696A30">
        <w:rPr>
          <w:rFonts w:eastAsiaTheme="minorEastAsia"/>
          <w:vertAlign w:val="superscript"/>
          <w:rtl/>
        </w:rPr>
        <w:t>(</w:t>
      </w:r>
      <w:proofErr w:type="gramEnd"/>
      <w:r w:rsidRPr="00E841A5">
        <w:rPr>
          <w:rStyle w:val="EndnoteReference"/>
          <w:rFonts w:eastAsiaTheme="minorEastAsia"/>
          <w:lang w:val="en-US"/>
        </w:rPr>
        <w:endnoteReference w:id="47"/>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6B48AAD7" w14:textId="44E39EB2"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39</w:t>
      </w:r>
      <w:r w:rsidRPr="00696A30">
        <w:rPr>
          <w:rFonts w:eastAsiaTheme="minorEastAsia"/>
          <w:szCs w:val="20"/>
          <w:rtl/>
        </w:rPr>
        <w:t>-</w:t>
      </w:r>
      <w:r w:rsidRPr="00696A30">
        <w:rPr>
          <w:rFonts w:eastAsiaTheme="minorEastAsia"/>
          <w:rtl/>
        </w:rPr>
        <w:tab/>
        <w:t xml:space="preserve">وطلبت لجنة الخبراء التابعة لمنظمة العمل الدولية إلى الحكومة تعزيز جهودها لضمان توفير الخدمات المناسبة للأطفال ضحايا الاتجار، بما في ذلك إعادة تأهيلهم ودمجهم في </w:t>
      </w:r>
      <w:proofErr w:type="gramStart"/>
      <w:r w:rsidRPr="00696A30">
        <w:rPr>
          <w:rFonts w:eastAsiaTheme="minorEastAsia"/>
          <w:rtl/>
        </w:rPr>
        <w:t>المجتمع</w:t>
      </w:r>
      <w:r w:rsidRPr="00696A30">
        <w:rPr>
          <w:rFonts w:eastAsiaTheme="minorEastAsia"/>
          <w:vertAlign w:val="superscript"/>
          <w:rtl/>
        </w:rPr>
        <w:t>(</w:t>
      </w:r>
      <w:proofErr w:type="gramEnd"/>
      <w:r w:rsidRPr="00E841A5">
        <w:rPr>
          <w:rStyle w:val="EndnoteReference"/>
          <w:rFonts w:eastAsiaTheme="minorEastAsia"/>
          <w:lang w:val="en-US"/>
        </w:rPr>
        <w:endnoteReference w:id="48"/>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DCEE075" w14:textId="0E01A40C" w:rsidR="00056D32" w:rsidRPr="00696A30" w:rsidRDefault="00056D32" w:rsidP="00056D32">
      <w:pPr>
        <w:pStyle w:val="SingleTxtGA"/>
        <w:rPr>
          <w:rFonts w:eastAsiaTheme="minorEastAsia"/>
          <w:szCs w:val="20"/>
          <w:lang w:val="en-US" w:eastAsia="zh-TW" w:bidi="en-GB"/>
        </w:rPr>
      </w:pPr>
      <w:r w:rsidRPr="00E841A5">
        <w:rPr>
          <w:rFonts w:eastAsiaTheme="minorEastAsia"/>
          <w:szCs w:val="20"/>
          <w:rtl/>
        </w:rPr>
        <w:t>40</w:t>
      </w:r>
      <w:r w:rsidRPr="00696A30">
        <w:rPr>
          <w:rFonts w:eastAsiaTheme="minorEastAsia"/>
          <w:szCs w:val="20"/>
          <w:rtl/>
        </w:rPr>
        <w:t>-</w:t>
      </w:r>
      <w:r w:rsidRPr="00696A30">
        <w:rPr>
          <w:rFonts w:eastAsiaTheme="minorEastAsia"/>
          <w:rtl/>
        </w:rPr>
        <w:tab/>
        <w:t>وأوصت مفوضية شؤون اللاجئين بأن تقدم الحكومة تدريب</w:t>
      </w:r>
      <w:r w:rsidR="004B1A4F" w:rsidRPr="00696A30">
        <w:rPr>
          <w:rFonts w:eastAsiaTheme="minorEastAsia"/>
          <w:rtl/>
        </w:rPr>
        <w:t xml:space="preserve">اً </w:t>
      </w:r>
      <w:r w:rsidRPr="00696A30">
        <w:rPr>
          <w:rFonts w:eastAsiaTheme="minorEastAsia"/>
          <w:rtl/>
        </w:rPr>
        <w:t>معزز</w:t>
      </w:r>
      <w:r w:rsidR="004B1A4F" w:rsidRPr="00696A30">
        <w:rPr>
          <w:rFonts w:eastAsiaTheme="minorEastAsia"/>
          <w:rtl/>
        </w:rPr>
        <w:t xml:space="preserve">اً </w:t>
      </w:r>
      <w:r w:rsidRPr="00696A30">
        <w:rPr>
          <w:rFonts w:eastAsiaTheme="minorEastAsia"/>
          <w:rtl/>
        </w:rPr>
        <w:t>لموظفي إنفاذ القانون والهجرة والقضاء من أجل تحسين تحديد وحماية ضحايا الاتجار، والأشخاص المحتاجين للحماية الدولية الذين قد يكونون أيض</w:t>
      </w:r>
      <w:r w:rsidR="004B1A4F" w:rsidRPr="00696A30">
        <w:rPr>
          <w:rFonts w:eastAsiaTheme="minorEastAsia"/>
          <w:rtl/>
        </w:rPr>
        <w:t xml:space="preserve">اً </w:t>
      </w:r>
      <w:r w:rsidRPr="00696A30">
        <w:rPr>
          <w:rFonts w:eastAsiaTheme="minorEastAsia"/>
          <w:rtl/>
        </w:rPr>
        <w:t>ضحايا للاتجار</w:t>
      </w:r>
      <w:r w:rsidRPr="00696A30">
        <w:rPr>
          <w:rStyle w:val="EndnoteReference"/>
          <w:rFonts w:eastAsiaTheme="minorEastAsia"/>
          <w:rtl/>
        </w:rPr>
        <w:t>(</w:t>
      </w:r>
      <w:r w:rsidRPr="00E841A5">
        <w:rPr>
          <w:rStyle w:val="EndnoteReference"/>
          <w:rFonts w:eastAsiaTheme="minorEastAsia"/>
          <w:lang w:val="en-US"/>
        </w:rPr>
        <w:endnoteReference w:id="49"/>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6485C723" w14:textId="21BFB25C" w:rsidR="00056D32" w:rsidRPr="00E841A5" w:rsidRDefault="00056D32" w:rsidP="00056D32">
      <w:pPr>
        <w:pStyle w:val="H1GA"/>
        <w:rPr>
          <w:rFonts w:eastAsiaTheme="minorEastAsia"/>
          <w:szCs w:val="20"/>
          <w:lang w:val="ar-SA" w:eastAsia="zh-TW" w:bidi="en-GB"/>
        </w:rPr>
      </w:pPr>
      <w:r w:rsidRPr="00E841A5">
        <w:rPr>
          <w:rFonts w:eastAsiaTheme="minorEastAsia"/>
          <w:rtl/>
        </w:rPr>
        <w:tab/>
        <w:t>جيم-</w:t>
      </w:r>
      <w:r w:rsidRPr="00E841A5">
        <w:rPr>
          <w:rFonts w:eastAsiaTheme="minorEastAsia"/>
          <w:rtl/>
        </w:rPr>
        <w:tab/>
        <w:t>الحقوق الاقتصادية والاجتماعية والثقافية</w:t>
      </w:r>
    </w:p>
    <w:p w14:paraId="7B35735C" w14:textId="1FBD8E42" w:rsidR="00056D32" w:rsidRPr="00696A30" w:rsidRDefault="00056D32" w:rsidP="00056D32">
      <w:pPr>
        <w:pStyle w:val="H23GA"/>
        <w:rPr>
          <w:rFonts w:eastAsiaTheme="minorEastAsia"/>
          <w:b w:val="0"/>
          <w:bCs w:val="0"/>
          <w:szCs w:val="20"/>
          <w:lang w:val="ar-SA" w:eastAsia="zh-TW" w:bidi="en-GB"/>
        </w:rPr>
      </w:pPr>
      <w:r w:rsidRPr="00E841A5">
        <w:rPr>
          <w:rFonts w:eastAsiaTheme="minorEastAsia"/>
          <w:szCs w:val="20"/>
          <w:rtl/>
        </w:rPr>
        <w:tab/>
        <w:t>1-</w:t>
      </w:r>
      <w:r w:rsidRPr="00E841A5">
        <w:rPr>
          <w:rFonts w:eastAsiaTheme="minorEastAsia"/>
          <w:rtl/>
        </w:rPr>
        <w:tab/>
        <w:t>الحق في العمل وفي ظروف عمل عادلة ومواتية</w:t>
      </w:r>
      <w:r w:rsidRPr="00E841A5">
        <w:rPr>
          <w:rFonts w:eastAsiaTheme="minorEastAsia" w:cs="Times New Roman" w:hint="cs"/>
          <w:rtl/>
        </w:rPr>
        <w:t>‬</w:t>
      </w:r>
      <w:r w:rsidRPr="00696A30">
        <w:rPr>
          <w:rStyle w:val="EndnoteReference"/>
          <w:rFonts w:eastAsiaTheme="minorEastAsia"/>
          <w:b w:val="0"/>
          <w:bCs w:val="0"/>
          <w:rtl/>
        </w:rPr>
        <w:t>(</w:t>
      </w:r>
      <w:r w:rsidRPr="00E841A5">
        <w:rPr>
          <w:rStyle w:val="EndnoteReference"/>
          <w:rFonts w:eastAsiaTheme="minorEastAsia"/>
          <w:b w:val="0"/>
          <w:bCs w:val="0"/>
          <w:lang w:val="en-US"/>
        </w:rPr>
        <w:endnoteReference w:id="50"/>
      </w:r>
      <w:r w:rsidRPr="00696A30">
        <w:rPr>
          <w:rStyle w:val="EndnoteReference"/>
          <w:rFonts w:eastAsiaTheme="minorEastAsia"/>
          <w:b w:val="0"/>
          <w:bCs w:val="0"/>
          <w:rtl/>
        </w:rPr>
        <w:t>)</w:t>
      </w:r>
    </w:p>
    <w:p w14:paraId="4C9794F8" w14:textId="2B3DC129"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41</w:t>
      </w:r>
      <w:r w:rsidRPr="00696A30">
        <w:rPr>
          <w:rFonts w:eastAsiaTheme="minorEastAsia"/>
          <w:szCs w:val="20"/>
          <w:rtl/>
        </w:rPr>
        <w:t>-</w:t>
      </w:r>
      <w:r w:rsidRPr="00696A30">
        <w:rPr>
          <w:rFonts w:eastAsiaTheme="minorEastAsia"/>
          <w:rtl/>
        </w:rPr>
        <w:tab/>
        <w:t>أشارت لجنة خبراء منظمة العمل الدولية إلى أنه وفق</w:t>
      </w:r>
      <w:r w:rsidR="004B1A4F" w:rsidRPr="00696A30">
        <w:rPr>
          <w:rFonts w:eastAsiaTheme="minorEastAsia"/>
          <w:rtl/>
        </w:rPr>
        <w:t xml:space="preserve">اً </w:t>
      </w:r>
      <w:r w:rsidRPr="00696A30">
        <w:rPr>
          <w:rFonts w:eastAsiaTheme="minorEastAsia"/>
          <w:rtl/>
        </w:rPr>
        <w:t xml:space="preserve">للإحصاءات المتاحة للبنك الدولي، ظلت </w:t>
      </w:r>
      <w:r w:rsidRPr="001620A7">
        <w:rPr>
          <w:rFonts w:eastAsiaTheme="minorEastAsia"/>
          <w:spacing w:val="-4"/>
          <w:rtl/>
        </w:rPr>
        <w:t>مستويات البطالة بين الشباب مرتفعة</w:t>
      </w:r>
      <w:r w:rsidRPr="001620A7">
        <w:rPr>
          <w:rFonts w:eastAsiaTheme="minorEastAsia"/>
          <w:spacing w:val="-4"/>
          <w:szCs w:val="20"/>
        </w:rPr>
        <w:t>:</w:t>
      </w:r>
      <w:r w:rsidRPr="001620A7">
        <w:rPr>
          <w:rFonts w:eastAsiaTheme="minorEastAsia"/>
          <w:spacing w:val="-4"/>
          <w:rtl/>
        </w:rPr>
        <w:t xml:space="preserve"> </w:t>
      </w:r>
      <w:r w:rsidRPr="00E841A5">
        <w:rPr>
          <w:rFonts w:eastAsiaTheme="minorEastAsia"/>
          <w:spacing w:val="-4"/>
          <w:szCs w:val="20"/>
          <w:rtl/>
        </w:rPr>
        <w:t>15</w:t>
      </w:r>
      <w:r w:rsidR="007532BE" w:rsidRPr="001620A7">
        <w:rPr>
          <w:rFonts w:eastAsiaTheme="minorEastAsia" w:hint="cs"/>
          <w:spacing w:val="-4"/>
          <w:szCs w:val="20"/>
          <w:rtl/>
        </w:rPr>
        <w:t>,</w:t>
      </w:r>
      <w:r w:rsidRPr="00E841A5">
        <w:rPr>
          <w:rFonts w:eastAsiaTheme="minorEastAsia"/>
          <w:spacing w:val="-4"/>
          <w:szCs w:val="20"/>
          <w:rtl/>
        </w:rPr>
        <w:t>69</w:t>
      </w:r>
      <w:r w:rsidRPr="001620A7">
        <w:rPr>
          <w:rFonts w:eastAsiaTheme="minorEastAsia"/>
          <w:spacing w:val="-4"/>
          <w:rtl/>
        </w:rPr>
        <w:t xml:space="preserve"> في المائة في عام </w:t>
      </w:r>
      <w:r w:rsidRPr="00E841A5">
        <w:rPr>
          <w:rFonts w:eastAsiaTheme="minorEastAsia"/>
          <w:spacing w:val="-4"/>
          <w:szCs w:val="20"/>
          <w:rtl/>
        </w:rPr>
        <w:t>2016</w:t>
      </w:r>
      <w:r w:rsidRPr="001620A7">
        <w:rPr>
          <w:rFonts w:eastAsiaTheme="minorEastAsia"/>
          <w:spacing w:val="-4"/>
          <w:rtl/>
        </w:rPr>
        <w:t xml:space="preserve"> و</w:t>
      </w:r>
      <w:r w:rsidRPr="00E841A5">
        <w:rPr>
          <w:rFonts w:eastAsiaTheme="minorEastAsia"/>
          <w:spacing w:val="-4"/>
          <w:szCs w:val="20"/>
          <w:rtl/>
        </w:rPr>
        <w:t>15</w:t>
      </w:r>
      <w:r w:rsidR="007532BE" w:rsidRPr="001620A7">
        <w:rPr>
          <w:rFonts w:eastAsiaTheme="minorEastAsia" w:hint="cs"/>
          <w:spacing w:val="-4"/>
          <w:szCs w:val="20"/>
          <w:rtl/>
        </w:rPr>
        <w:t>,</w:t>
      </w:r>
      <w:r w:rsidRPr="00E841A5">
        <w:rPr>
          <w:rFonts w:eastAsiaTheme="minorEastAsia"/>
          <w:spacing w:val="-4"/>
          <w:szCs w:val="20"/>
          <w:rtl/>
        </w:rPr>
        <w:t>86</w:t>
      </w:r>
      <w:r w:rsidRPr="001620A7">
        <w:rPr>
          <w:rFonts w:eastAsiaTheme="minorEastAsia"/>
          <w:spacing w:val="-4"/>
          <w:rtl/>
        </w:rPr>
        <w:t xml:space="preserve"> في المائة في عام</w:t>
      </w:r>
      <w:r w:rsidR="007532BE" w:rsidRPr="001620A7">
        <w:rPr>
          <w:rFonts w:eastAsiaTheme="minorEastAsia" w:hint="cs"/>
          <w:spacing w:val="-4"/>
          <w:rtl/>
        </w:rPr>
        <w:t> </w:t>
      </w:r>
      <w:r w:rsidRPr="00E841A5">
        <w:rPr>
          <w:rFonts w:eastAsiaTheme="minorEastAsia"/>
          <w:spacing w:val="-4"/>
          <w:szCs w:val="20"/>
          <w:rtl/>
        </w:rPr>
        <w:t>2017</w:t>
      </w:r>
      <w:r w:rsidRPr="001620A7">
        <w:rPr>
          <w:rFonts w:eastAsiaTheme="minorEastAsia"/>
          <w:spacing w:val="-4"/>
          <w:vertAlign w:val="superscript"/>
          <w:rtl/>
        </w:rPr>
        <w:t>(</w:t>
      </w:r>
      <w:r w:rsidRPr="00E841A5">
        <w:rPr>
          <w:rStyle w:val="EndnoteReference"/>
          <w:rFonts w:eastAsiaTheme="minorEastAsia"/>
          <w:spacing w:val="-4"/>
          <w:lang w:val="en-US"/>
        </w:rPr>
        <w:endnoteReference w:id="51"/>
      </w:r>
      <w:r w:rsidR="000E5FB0" w:rsidRPr="001620A7">
        <w:rPr>
          <w:rStyle w:val="EndnoteReference"/>
          <w:rFonts w:eastAsiaTheme="minorEastAsia"/>
          <w:spacing w:val="-4"/>
          <w:rtl/>
        </w:rPr>
        <w:t>)</w:t>
      </w:r>
      <w:r w:rsidR="000E5FB0" w:rsidRPr="001620A7">
        <w:rPr>
          <w:rStyle w:val="EndnoteReference"/>
          <w:rFonts w:eastAsiaTheme="minorEastAsia"/>
          <w:spacing w:val="-4"/>
          <w:vertAlign w:val="baseline"/>
          <w:rtl/>
        </w:rPr>
        <w:t>.</w:t>
      </w:r>
    </w:p>
    <w:p w14:paraId="6E3AD45E" w14:textId="72478211"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42</w:t>
      </w:r>
      <w:r w:rsidRPr="00696A30">
        <w:rPr>
          <w:rFonts w:eastAsiaTheme="minorEastAsia"/>
          <w:szCs w:val="20"/>
          <w:rtl/>
        </w:rPr>
        <w:t>-</w:t>
      </w:r>
      <w:r w:rsidRPr="00696A30">
        <w:rPr>
          <w:rFonts w:eastAsiaTheme="minorEastAsia"/>
          <w:rtl/>
        </w:rPr>
        <w:tab/>
      </w:r>
      <w:r w:rsidRPr="001620A7">
        <w:rPr>
          <w:rFonts w:eastAsiaTheme="minorEastAsia"/>
          <w:spacing w:val="-2"/>
          <w:rtl/>
        </w:rPr>
        <w:t>وذكر فريق الأمم المتحدة القطري أن معدل البطالة بين الشباب والنساء أعلى بشكل غير متناسب</w:t>
      </w:r>
      <w:r w:rsidRPr="00696A30">
        <w:rPr>
          <w:rFonts w:eastAsiaTheme="minorEastAsia"/>
          <w:rtl/>
        </w:rPr>
        <w:t xml:space="preserve">. ولم تجمع البيانات المتاحة على الصعيد الوطني، بل جُمعت فقط في مقاطعتي باراماريبو </w:t>
      </w:r>
      <w:proofErr w:type="spellStart"/>
      <w:r w:rsidRPr="00696A30">
        <w:rPr>
          <w:rFonts w:eastAsiaTheme="minorEastAsia"/>
          <w:rtl/>
        </w:rPr>
        <w:t>ووانيكا</w:t>
      </w:r>
      <w:proofErr w:type="spellEnd"/>
      <w:r w:rsidRPr="00696A30">
        <w:rPr>
          <w:rFonts w:eastAsiaTheme="minorEastAsia"/>
          <w:rtl/>
        </w:rPr>
        <w:t>. ولذلك،</w:t>
      </w:r>
      <w:r w:rsidR="001620A7">
        <w:rPr>
          <w:rFonts w:eastAsiaTheme="minorEastAsia" w:hint="cs"/>
          <w:rtl/>
        </w:rPr>
        <w:t> </w:t>
      </w:r>
      <w:r w:rsidRPr="00696A30">
        <w:rPr>
          <w:rFonts w:eastAsiaTheme="minorEastAsia"/>
          <w:rtl/>
        </w:rPr>
        <w:t>لم يتسن تقييم قابلية التضرر والأثر في جميع المقاطعات العشر. ولم تتخذ الحكومة المحلية أي</w:t>
      </w:r>
      <w:r w:rsidR="001620A7">
        <w:rPr>
          <w:rFonts w:eastAsiaTheme="minorEastAsia" w:hint="cs"/>
          <w:rtl/>
        </w:rPr>
        <w:t> </w:t>
      </w:r>
      <w:r w:rsidRPr="00696A30">
        <w:rPr>
          <w:rFonts w:eastAsiaTheme="minorEastAsia"/>
          <w:rtl/>
        </w:rPr>
        <w:t xml:space="preserve">إجراء محدد لتمكين المرأة من المنافسة في سوق العمل على قدم المساواة مع </w:t>
      </w:r>
      <w:proofErr w:type="gramStart"/>
      <w:r w:rsidRPr="00696A30">
        <w:rPr>
          <w:rFonts w:eastAsiaTheme="minorEastAsia"/>
          <w:rtl/>
        </w:rPr>
        <w:t>الرجل</w:t>
      </w:r>
      <w:r w:rsidRPr="00696A30">
        <w:rPr>
          <w:rFonts w:eastAsiaTheme="minorEastAsia"/>
          <w:vertAlign w:val="superscript"/>
          <w:rtl/>
        </w:rPr>
        <w:t>(</w:t>
      </w:r>
      <w:proofErr w:type="gramEnd"/>
      <w:r w:rsidRPr="00E841A5">
        <w:rPr>
          <w:rStyle w:val="EndnoteReference"/>
          <w:rFonts w:eastAsiaTheme="minorEastAsia"/>
          <w:lang w:val="en-US"/>
        </w:rPr>
        <w:endnoteReference w:id="52"/>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61F21807" w14:textId="05FAB2A6"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43</w:t>
      </w:r>
      <w:r w:rsidRPr="00696A30">
        <w:rPr>
          <w:rFonts w:eastAsiaTheme="minorEastAsia"/>
          <w:szCs w:val="20"/>
          <w:rtl/>
        </w:rPr>
        <w:t>-</w:t>
      </w:r>
      <w:r w:rsidRPr="00696A30">
        <w:rPr>
          <w:rFonts w:eastAsiaTheme="minorEastAsia"/>
          <w:rtl/>
        </w:rPr>
        <w:tab/>
        <w:t xml:space="preserve">ولاحظت اللجنة المعنية بالقضاء على التمييز ضد المرأة بقلق عدم مساواة المرأة في الحصول على الفرص الاقتصادية وارتفاع معدل البطالة بشكل غير متناسب بين النساء، ولا سيما الريفيات ونساء المارون ونساء الشعوب </w:t>
      </w:r>
      <w:proofErr w:type="gramStart"/>
      <w:r w:rsidRPr="00696A30">
        <w:rPr>
          <w:rFonts w:eastAsiaTheme="minorEastAsia"/>
          <w:rtl/>
        </w:rPr>
        <w:t>الأصلية</w:t>
      </w:r>
      <w:r w:rsidRPr="00696A30">
        <w:rPr>
          <w:rFonts w:eastAsiaTheme="minorEastAsia"/>
          <w:vertAlign w:val="superscript"/>
          <w:rtl/>
        </w:rPr>
        <w:t>(</w:t>
      </w:r>
      <w:proofErr w:type="gramEnd"/>
      <w:r w:rsidRPr="00E841A5">
        <w:rPr>
          <w:rStyle w:val="EndnoteReference"/>
          <w:rFonts w:eastAsiaTheme="minorEastAsia"/>
          <w:lang w:val="en-US"/>
        </w:rPr>
        <w:endnoteReference w:id="53"/>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1F90A461" w14:textId="3CBC3D1E"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lastRenderedPageBreak/>
        <w:t>44</w:t>
      </w:r>
      <w:r w:rsidRPr="00696A30">
        <w:rPr>
          <w:rFonts w:eastAsiaTheme="minorEastAsia"/>
          <w:szCs w:val="20"/>
          <w:rtl/>
        </w:rPr>
        <w:t>-</w:t>
      </w:r>
      <w:r w:rsidRPr="00696A30">
        <w:rPr>
          <w:rFonts w:eastAsiaTheme="minorEastAsia"/>
          <w:rtl/>
        </w:rPr>
        <w:tab/>
        <w:t>ولاحظت اللجنة نفسها بقلق استمرار الفصل المهني في سوق العمل، وتركّز النساء في الوظائف المنخفضة الأجر في القطاع غير الرسمي، والتمثيل الناقص للمرأة في المناصب الإدارية والمهن غير</w:t>
      </w:r>
      <w:r w:rsidR="007532BE" w:rsidRPr="00696A30">
        <w:rPr>
          <w:rFonts w:eastAsiaTheme="minorEastAsia" w:hint="cs"/>
          <w:rtl/>
        </w:rPr>
        <w:t> </w:t>
      </w:r>
      <w:proofErr w:type="gramStart"/>
      <w:r w:rsidRPr="00696A30">
        <w:rPr>
          <w:rFonts w:eastAsiaTheme="minorEastAsia"/>
          <w:rtl/>
        </w:rPr>
        <w:t>التقليدية</w:t>
      </w:r>
      <w:r w:rsidRPr="00696A30">
        <w:rPr>
          <w:rFonts w:eastAsiaTheme="minorEastAsia"/>
          <w:vertAlign w:val="superscript"/>
          <w:rtl/>
        </w:rPr>
        <w:t>(</w:t>
      </w:r>
      <w:proofErr w:type="gramEnd"/>
      <w:r w:rsidRPr="00E841A5">
        <w:rPr>
          <w:rStyle w:val="EndnoteReference"/>
          <w:rFonts w:eastAsiaTheme="minorEastAsia"/>
          <w:lang w:val="en-US"/>
        </w:rPr>
        <w:endnoteReference w:id="54"/>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AFEDCEE" w14:textId="3091735E"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45</w:t>
      </w:r>
      <w:r w:rsidRPr="00696A30">
        <w:rPr>
          <w:rFonts w:eastAsiaTheme="minorEastAsia"/>
          <w:szCs w:val="20"/>
          <w:rtl/>
        </w:rPr>
        <w:t>-</w:t>
      </w:r>
      <w:r w:rsidRPr="00696A30">
        <w:rPr>
          <w:rFonts w:eastAsiaTheme="minorEastAsia"/>
          <w:rtl/>
        </w:rPr>
        <w:tab/>
      </w:r>
      <w:r w:rsidRPr="001620A7">
        <w:rPr>
          <w:rFonts w:eastAsiaTheme="minorEastAsia"/>
          <w:spacing w:val="-2"/>
          <w:rtl/>
        </w:rPr>
        <w:t>وحثت ‎لجنة حقوق الطفل‏ الدولة على تعزيز مفتشيات العمل وآليات الرصد في القطاعين الرسمي</w:t>
      </w:r>
      <w:r w:rsidRPr="00696A30">
        <w:rPr>
          <w:rFonts w:eastAsiaTheme="minorEastAsia"/>
          <w:rtl/>
        </w:rPr>
        <w:t xml:space="preserve"> وغير الرسمي وإتاحة البيانات المتعلقة بعدد عمليات التفتيش والانتهاكات ليطَّلع عليها</w:t>
      </w:r>
      <w:r w:rsidR="007532BE" w:rsidRPr="00696A30">
        <w:rPr>
          <w:rFonts w:eastAsiaTheme="minorEastAsia" w:hint="cs"/>
          <w:rtl/>
        </w:rPr>
        <w:t> </w:t>
      </w:r>
      <w:r w:rsidRPr="00696A30">
        <w:rPr>
          <w:rFonts w:eastAsiaTheme="minorEastAsia"/>
          <w:rtl/>
        </w:rPr>
        <w:t>الجمهور</w:t>
      </w:r>
      <w:r w:rsidRPr="00696A30">
        <w:rPr>
          <w:rStyle w:val="EndnoteReference"/>
          <w:rFonts w:eastAsiaTheme="minorEastAsia"/>
          <w:rtl/>
        </w:rPr>
        <w:t>(</w:t>
      </w:r>
      <w:r w:rsidRPr="00E841A5">
        <w:rPr>
          <w:rStyle w:val="EndnoteReference"/>
          <w:rFonts w:eastAsiaTheme="minorEastAsia"/>
          <w:lang w:val="en-US"/>
        </w:rPr>
        <w:endnoteReference w:id="55"/>
      </w:r>
      <w:r w:rsidRPr="00696A30">
        <w:rPr>
          <w:rStyle w:val="EndnoteReference"/>
          <w:rFonts w:eastAsiaTheme="minorEastAsia"/>
          <w:rtl/>
        </w:rPr>
        <w:t>)</w:t>
      </w:r>
      <w:r w:rsidRPr="00696A30">
        <w:rPr>
          <w:rFonts w:eastAsiaTheme="minorEastAsia"/>
          <w:rtl/>
        </w:rPr>
        <w:t>.</w:t>
      </w:r>
    </w:p>
    <w:p w14:paraId="6E6E5912" w14:textId="4FDD7E55" w:rsidR="00056D32" w:rsidRPr="00696A30" w:rsidRDefault="00056D32" w:rsidP="00056D32">
      <w:pPr>
        <w:pStyle w:val="SingleTxtGA"/>
        <w:rPr>
          <w:rFonts w:eastAsiaTheme="minorEastAsia"/>
          <w:szCs w:val="20"/>
          <w:lang w:val="en-US" w:eastAsia="zh-TW" w:bidi="en-GB"/>
        </w:rPr>
      </w:pPr>
      <w:r w:rsidRPr="00E841A5">
        <w:rPr>
          <w:rFonts w:eastAsiaTheme="minorEastAsia"/>
          <w:szCs w:val="20"/>
          <w:rtl/>
        </w:rPr>
        <w:t>46</w:t>
      </w:r>
      <w:r w:rsidRPr="00696A30">
        <w:rPr>
          <w:rFonts w:eastAsiaTheme="minorEastAsia"/>
          <w:szCs w:val="20"/>
          <w:rtl/>
        </w:rPr>
        <w:t>-</w:t>
      </w:r>
      <w:r w:rsidRPr="00696A30">
        <w:rPr>
          <w:rFonts w:eastAsiaTheme="minorEastAsia"/>
          <w:rtl/>
        </w:rPr>
        <w:tab/>
        <w:t xml:space="preserve">وطلبت لجنة الخبراء التابعة لمنظمة العمل الدولية إلى الحكومة أن تتخذ التدابير اللازمة لضمان منح حقوق المفاوضة الجماعية للنقابات القائمة، بصورة مشتركة أو منفصلة، على الأقل باسم أعضائها، إذا لم تكن هناك نقابة تمثل أغلبية </w:t>
      </w:r>
      <w:proofErr w:type="gramStart"/>
      <w:r w:rsidRPr="00696A30">
        <w:rPr>
          <w:rFonts w:eastAsiaTheme="minorEastAsia"/>
          <w:rtl/>
        </w:rPr>
        <w:t>الموظفين</w:t>
      </w:r>
      <w:r w:rsidRPr="00696A30">
        <w:rPr>
          <w:rFonts w:eastAsiaTheme="minorEastAsia"/>
          <w:vertAlign w:val="superscript"/>
          <w:rtl/>
        </w:rPr>
        <w:t>(</w:t>
      </w:r>
      <w:proofErr w:type="gramEnd"/>
      <w:r w:rsidRPr="00E841A5">
        <w:rPr>
          <w:rStyle w:val="EndnoteReference"/>
          <w:rFonts w:eastAsiaTheme="minorEastAsia"/>
          <w:lang w:val="en-US"/>
        </w:rPr>
        <w:endnoteReference w:id="56"/>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1A5BF3BD" w14:textId="3DFF3325"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47</w:t>
      </w:r>
      <w:r w:rsidRPr="00696A30">
        <w:rPr>
          <w:rFonts w:eastAsiaTheme="minorEastAsia"/>
          <w:szCs w:val="20"/>
          <w:rtl/>
        </w:rPr>
        <w:t>-</w:t>
      </w:r>
      <w:r w:rsidRPr="00696A30">
        <w:rPr>
          <w:rFonts w:eastAsiaTheme="minorEastAsia"/>
          <w:rtl/>
        </w:rPr>
        <w:tab/>
        <w:t xml:space="preserve">وذكر الفريق القطري أن قانون الحد الأدنى للأجور حُدِّث في عام </w:t>
      </w:r>
      <w:r w:rsidRPr="00E841A5">
        <w:rPr>
          <w:rFonts w:eastAsiaTheme="minorEastAsia"/>
          <w:szCs w:val="20"/>
          <w:rtl/>
        </w:rPr>
        <w:t>2019</w:t>
      </w:r>
      <w:r w:rsidRPr="00696A30">
        <w:rPr>
          <w:rFonts w:eastAsiaTheme="minorEastAsia"/>
          <w:rtl/>
        </w:rPr>
        <w:t xml:space="preserve"> من قبل الجمعية </w:t>
      </w:r>
      <w:r w:rsidRPr="001620A7">
        <w:rPr>
          <w:rFonts w:eastAsiaTheme="minorEastAsia"/>
          <w:spacing w:val="-2"/>
          <w:rtl/>
        </w:rPr>
        <w:t>الوطنية وحدد الحد الأدنى للأجور ب</w:t>
      </w:r>
      <w:r w:rsidR="001620A7" w:rsidRPr="001620A7">
        <w:rPr>
          <w:rFonts w:eastAsiaTheme="minorEastAsia" w:hint="cs"/>
          <w:spacing w:val="-2"/>
          <w:rtl/>
        </w:rPr>
        <w:t>‍</w:t>
      </w:r>
      <w:r w:rsidRPr="001620A7">
        <w:rPr>
          <w:rFonts w:eastAsiaTheme="minorEastAsia"/>
          <w:spacing w:val="-2"/>
          <w:rtl/>
        </w:rPr>
        <w:t xml:space="preserve"> </w:t>
      </w:r>
      <w:r w:rsidRPr="00E841A5">
        <w:rPr>
          <w:rFonts w:eastAsiaTheme="minorEastAsia"/>
          <w:spacing w:val="-2"/>
          <w:szCs w:val="20"/>
          <w:rtl/>
        </w:rPr>
        <w:t>8</w:t>
      </w:r>
      <w:r w:rsidR="007532BE" w:rsidRPr="001620A7">
        <w:rPr>
          <w:rFonts w:eastAsiaTheme="minorEastAsia" w:hint="cs"/>
          <w:spacing w:val="-2"/>
          <w:szCs w:val="20"/>
          <w:rtl/>
        </w:rPr>
        <w:t>,</w:t>
      </w:r>
      <w:r w:rsidRPr="00E841A5">
        <w:rPr>
          <w:rFonts w:eastAsiaTheme="minorEastAsia"/>
          <w:spacing w:val="-2"/>
          <w:szCs w:val="20"/>
          <w:rtl/>
        </w:rPr>
        <w:t>4</w:t>
      </w:r>
      <w:r w:rsidRPr="001620A7">
        <w:rPr>
          <w:rFonts w:eastAsiaTheme="minorEastAsia"/>
          <w:spacing w:val="-2"/>
          <w:rtl/>
        </w:rPr>
        <w:t xml:space="preserve"> دولار </w:t>
      </w:r>
      <w:proofErr w:type="spellStart"/>
      <w:r w:rsidRPr="001620A7">
        <w:rPr>
          <w:rFonts w:eastAsiaTheme="minorEastAsia"/>
          <w:spacing w:val="-2"/>
          <w:rtl/>
        </w:rPr>
        <w:t>سورينامي</w:t>
      </w:r>
      <w:proofErr w:type="spellEnd"/>
      <w:r w:rsidRPr="001620A7">
        <w:rPr>
          <w:rFonts w:eastAsiaTheme="minorEastAsia"/>
          <w:spacing w:val="-2"/>
          <w:rtl/>
        </w:rPr>
        <w:t xml:space="preserve"> في الساعة. غير أن الفريق لاحظ أن هذا القانون</w:t>
      </w:r>
      <w:r w:rsidRPr="00696A30">
        <w:rPr>
          <w:rFonts w:eastAsiaTheme="minorEastAsia"/>
          <w:rtl/>
        </w:rPr>
        <w:t xml:space="preserve"> </w:t>
      </w:r>
      <w:r w:rsidRPr="001620A7">
        <w:rPr>
          <w:rFonts w:eastAsiaTheme="minorEastAsia"/>
          <w:spacing w:val="-2"/>
          <w:rtl/>
        </w:rPr>
        <w:t>لا ينطبق إلا على القطاع الرسمي. ولا يستفيد من هذا القانون الأشخاص العاملون في القطاع غير الرسمي،</w:t>
      </w:r>
      <w:r w:rsidRPr="00696A30">
        <w:rPr>
          <w:rFonts w:eastAsiaTheme="minorEastAsia"/>
          <w:rtl/>
        </w:rPr>
        <w:t xml:space="preserve"> ومعظمهم من الشباب </w:t>
      </w:r>
      <w:proofErr w:type="gramStart"/>
      <w:r w:rsidRPr="00696A30">
        <w:rPr>
          <w:rFonts w:eastAsiaTheme="minorEastAsia"/>
          <w:rtl/>
        </w:rPr>
        <w:t>والنساء</w:t>
      </w:r>
      <w:r w:rsidRPr="00696A30">
        <w:rPr>
          <w:rFonts w:eastAsiaTheme="minorEastAsia"/>
          <w:vertAlign w:val="superscript"/>
          <w:rtl/>
        </w:rPr>
        <w:t>(</w:t>
      </w:r>
      <w:proofErr w:type="gramEnd"/>
      <w:r w:rsidRPr="00E841A5">
        <w:rPr>
          <w:rStyle w:val="EndnoteReference"/>
          <w:rFonts w:eastAsiaTheme="minorEastAsia"/>
          <w:lang w:val="en-US"/>
        </w:rPr>
        <w:endnoteReference w:id="57"/>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4A25839" w14:textId="3A54C86A"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48</w:t>
      </w:r>
      <w:r w:rsidRPr="00696A30">
        <w:rPr>
          <w:rFonts w:eastAsiaTheme="minorEastAsia"/>
          <w:szCs w:val="20"/>
          <w:rtl/>
        </w:rPr>
        <w:t>-</w:t>
      </w:r>
      <w:r w:rsidRPr="00696A30">
        <w:rPr>
          <w:rFonts w:eastAsiaTheme="minorEastAsia"/>
          <w:rtl/>
        </w:rPr>
        <w:tab/>
        <w:t xml:space="preserve">ودعت اللجنة المعنية بالقضاء على التمييز ضد المرأة‏‏ الدولة إلى تعديل المادة </w:t>
      </w:r>
      <w:r w:rsidRPr="00E841A5">
        <w:rPr>
          <w:rFonts w:eastAsiaTheme="minorEastAsia"/>
          <w:szCs w:val="20"/>
          <w:rtl/>
        </w:rPr>
        <w:t>28</w:t>
      </w:r>
      <w:r w:rsidRPr="00696A30">
        <w:rPr>
          <w:rFonts w:eastAsiaTheme="minorEastAsia"/>
          <w:rtl/>
        </w:rPr>
        <w:t xml:space="preserve"> من الدستور لضمان إدراج مبدأ الأجر المتساوي لقاء العمل المتساوي القيمة واعتماد تدابير لإنفاذ هذا المبدأ بفعالية</w:t>
      </w:r>
      <w:r w:rsidRPr="00696A30">
        <w:rPr>
          <w:rStyle w:val="EndnoteReference"/>
          <w:rFonts w:eastAsiaTheme="minorEastAsia"/>
          <w:rtl/>
        </w:rPr>
        <w:t>(</w:t>
      </w:r>
      <w:r w:rsidRPr="00E841A5">
        <w:rPr>
          <w:rStyle w:val="EndnoteReference"/>
          <w:rFonts w:eastAsiaTheme="minorEastAsia"/>
          <w:lang w:val="en-US"/>
        </w:rPr>
        <w:endnoteReference w:id="58"/>
      </w:r>
      <w:r w:rsidRPr="00696A30">
        <w:rPr>
          <w:rStyle w:val="EndnoteReference"/>
          <w:rFonts w:eastAsiaTheme="minorEastAsia"/>
          <w:rtl/>
        </w:rPr>
        <w:t>)</w:t>
      </w:r>
      <w:r w:rsidRPr="00696A30">
        <w:rPr>
          <w:rFonts w:eastAsiaTheme="minorEastAsia"/>
          <w:rtl/>
        </w:rPr>
        <w:t>.</w:t>
      </w:r>
    </w:p>
    <w:p w14:paraId="731F763E" w14:textId="1B932D6C" w:rsidR="00056D32" w:rsidRPr="00E841A5" w:rsidRDefault="00056D32" w:rsidP="00056D32">
      <w:pPr>
        <w:pStyle w:val="H23GA"/>
        <w:rPr>
          <w:rFonts w:eastAsiaTheme="minorEastAsia"/>
          <w:szCs w:val="20"/>
          <w:lang w:val="en-US" w:eastAsia="zh-TW" w:bidi="en-GB"/>
        </w:rPr>
      </w:pPr>
      <w:r w:rsidRPr="00E841A5">
        <w:rPr>
          <w:rFonts w:eastAsiaTheme="minorEastAsia"/>
          <w:szCs w:val="20"/>
          <w:rtl/>
        </w:rPr>
        <w:tab/>
        <w:t>2-</w:t>
      </w:r>
      <w:r w:rsidRPr="00E841A5">
        <w:rPr>
          <w:rFonts w:eastAsiaTheme="minorEastAsia"/>
          <w:rtl/>
        </w:rPr>
        <w:tab/>
        <w:t>الحق في الضمان الاجتماعي</w:t>
      </w:r>
    </w:p>
    <w:p w14:paraId="19082C2D" w14:textId="6B40297A"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49</w:t>
      </w:r>
      <w:r w:rsidRPr="00696A30">
        <w:rPr>
          <w:rFonts w:eastAsiaTheme="minorEastAsia"/>
          <w:szCs w:val="20"/>
          <w:rtl/>
        </w:rPr>
        <w:t>-</w:t>
      </w:r>
      <w:r w:rsidRPr="00696A30">
        <w:rPr>
          <w:rFonts w:eastAsiaTheme="minorEastAsia"/>
          <w:rtl/>
        </w:rPr>
        <w:tab/>
        <w:t>أوصت لجنة حقوق الطفل بأن تشجِّع الدولة على وضع استراتيجية شاملة ومتسقة لضمان حصول الأطفال على الحد الأدنى من الخدمات الأساسية والأمن المالي، ولا سيما في المناطق الداخلية، وبأن تنشئ حد</w:t>
      </w:r>
      <w:r w:rsidR="004B1A4F" w:rsidRPr="00696A30">
        <w:rPr>
          <w:rFonts w:eastAsiaTheme="minorEastAsia"/>
          <w:rtl/>
        </w:rPr>
        <w:t xml:space="preserve">اً </w:t>
      </w:r>
      <w:r w:rsidRPr="00696A30">
        <w:rPr>
          <w:rFonts w:eastAsiaTheme="minorEastAsia"/>
          <w:rtl/>
        </w:rPr>
        <w:t>أدنى للحماية الاجتماعية محدد وطني</w:t>
      </w:r>
      <w:r w:rsidR="004B1A4F" w:rsidRPr="00696A30">
        <w:rPr>
          <w:rFonts w:eastAsiaTheme="minorEastAsia"/>
          <w:rtl/>
        </w:rPr>
        <w:t xml:space="preserve">اً </w:t>
      </w:r>
      <w:r w:rsidRPr="00696A30">
        <w:rPr>
          <w:rFonts w:eastAsiaTheme="minorEastAsia"/>
          <w:rtl/>
        </w:rPr>
        <w:t xml:space="preserve">كجزء من مبادرة الحد الأدنى للحماية الاجتماعية التي أطلقتها الأمم </w:t>
      </w:r>
      <w:proofErr w:type="gramStart"/>
      <w:r w:rsidRPr="00696A30">
        <w:rPr>
          <w:rFonts w:eastAsiaTheme="minorEastAsia"/>
          <w:rtl/>
        </w:rPr>
        <w:t>المتحدة</w:t>
      </w:r>
      <w:r w:rsidRPr="00696A30">
        <w:rPr>
          <w:rFonts w:eastAsiaTheme="minorEastAsia"/>
          <w:vertAlign w:val="superscript"/>
          <w:rtl/>
        </w:rPr>
        <w:t>(</w:t>
      </w:r>
      <w:proofErr w:type="gramEnd"/>
      <w:r w:rsidRPr="00E841A5">
        <w:rPr>
          <w:rStyle w:val="EndnoteReference"/>
          <w:rFonts w:eastAsiaTheme="minorEastAsia"/>
          <w:lang w:val="en-US"/>
        </w:rPr>
        <w:endnoteReference w:id="59"/>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6993735E" w14:textId="42EA9569"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50</w:t>
      </w:r>
      <w:r w:rsidRPr="00696A30">
        <w:rPr>
          <w:rFonts w:eastAsiaTheme="minorEastAsia"/>
          <w:szCs w:val="20"/>
          <w:rtl/>
        </w:rPr>
        <w:t>-</w:t>
      </w:r>
      <w:r w:rsidRPr="00696A30">
        <w:rPr>
          <w:rFonts w:eastAsiaTheme="minorEastAsia"/>
          <w:rtl/>
        </w:rPr>
        <w:tab/>
      </w:r>
      <w:r w:rsidRPr="001620A7">
        <w:rPr>
          <w:rFonts w:eastAsiaTheme="minorEastAsia"/>
          <w:spacing w:val="-4"/>
          <w:rtl/>
        </w:rPr>
        <w:t>وأوصت اللجنة نفسها أيض</w:t>
      </w:r>
      <w:r w:rsidR="004B1A4F" w:rsidRPr="001620A7">
        <w:rPr>
          <w:rFonts w:eastAsiaTheme="minorEastAsia"/>
          <w:spacing w:val="-4"/>
          <w:rtl/>
        </w:rPr>
        <w:t xml:space="preserve">اً </w:t>
      </w:r>
      <w:r w:rsidRPr="001620A7">
        <w:rPr>
          <w:rFonts w:eastAsiaTheme="minorEastAsia"/>
          <w:spacing w:val="-4"/>
          <w:rtl/>
        </w:rPr>
        <w:t>بأن تعزز الدولة الدعم المقدم إلى مقدمي الرعاية للأطفال ذوي الإعاقة،</w:t>
      </w:r>
      <w:r w:rsidRPr="00696A30">
        <w:rPr>
          <w:rFonts w:eastAsiaTheme="minorEastAsia"/>
          <w:rtl/>
        </w:rPr>
        <w:t xml:space="preserve"> بسبل منها زيادة الاستحقاقات الاجتماعية وغيرها من </w:t>
      </w:r>
      <w:proofErr w:type="gramStart"/>
      <w:r w:rsidRPr="00696A30">
        <w:rPr>
          <w:rFonts w:eastAsiaTheme="minorEastAsia"/>
          <w:rtl/>
        </w:rPr>
        <w:t>الخدمات</w:t>
      </w:r>
      <w:r w:rsidRPr="00696A30">
        <w:rPr>
          <w:rFonts w:eastAsiaTheme="minorEastAsia"/>
          <w:vertAlign w:val="superscript"/>
          <w:rtl/>
        </w:rPr>
        <w:t>(</w:t>
      </w:r>
      <w:proofErr w:type="gramEnd"/>
      <w:r w:rsidRPr="00E841A5">
        <w:rPr>
          <w:rStyle w:val="EndnoteReference"/>
          <w:rFonts w:eastAsiaTheme="minorEastAsia"/>
          <w:lang w:val="en-US"/>
        </w:rPr>
        <w:endnoteReference w:id="60"/>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8BDBFC1" w14:textId="02D658F9" w:rsidR="00056D32" w:rsidRPr="00E841A5" w:rsidRDefault="00056D32" w:rsidP="00056D32">
      <w:pPr>
        <w:pStyle w:val="H23GA"/>
        <w:rPr>
          <w:rFonts w:eastAsiaTheme="minorEastAsia"/>
          <w:szCs w:val="20"/>
          <w:lang w:val="en-US" w:eastAsia="zh-TW" w:bidi="en-GB"/>
        </w:rPr>
      </w:pPr>
      <w:r w:rsidRPr="00E841A5">
        <w:rPr>
          <w:rFonts w:eastAsiaTheme="minorEastAsia"/>
          <w:szCs w:val="20"/>
          <w:rtl/>
        </w:rPr>
        <w:tab/>
        <w:t>3-</w:t>
      </w:r>
      <w:r w:rsidRPr="00E841A5">
        <w:rPr>
          <w:rFonts w:eastAsiaTheme="minorEastAsia"/>
          <w:rtl/>
        </w:rPr>
        <w:tab/>
        <w:t>الحق في مستوى معيشي لائق</w:t>
      </w:r>
      <w:r w:rsidRPr="00696A30">
        <w:rPr>
          <w:rStyle w:val="EndnoteReference"/>
          <w:rFonts w:eastAsiaTheme="minorEastAsia"/>
          <w:b w:val="0"/>
          <w:bCs w:val="0"/>
          <w:rtl/>
        </w:rPr>
        <w:t>(</w:t>
      </w:r>
      <w:r w:rsidRPr="00E841A5">
        <w:rPr>
          <w:rStyle w:val="EndnoteReference"/>
          <w:rFonts w:eastAsiaTheme="minorEastAsia"/>
          <w:b w:val="0"/>
          <w:bCs w:val="0"/>
          <w:lang w:val="en-US"/>
        </w:rPr>
        <w:endnoteReference w:id="61"/>
      </w:r>
      <w:r w:rsidRPr="00696A30">
        <w:rPr>
          <w:rStyle w:val="EndnoteReference"/>
          <w:rFonts w:eastAsiaTheme="minorEastAsia"/>
          <w:b w:val="0"/>
          <w:bCs w:val="0"/>
          <w:rtl/>
        </w:rPr>
        <w:t>)</w:t>
      </w:r>
    </w:p>
    <w:p w14:paraId="02722A74" w14:textId="1A738795" w:rsidR="00056D32" w:rsidRPr="00696A30" w:rsidRDefault="00056D32" w:rsidP="00056D32">
      <w:pPr>
        <w:pStyle w:val="SingleTxtGA"/>
        <w:rPr>
          <w:rFonts w:eastAsiaTheme="minorEastAsia"/>
          <w:szCs w:val="20"/>
          <w:lang w:val="en-US" w:eastAsia="zh-TW" w:bidi="en-GB"/>
        </w:rPr>
      </w:pPr>
      <w:r w:rsidRPr="00E841A5">
        <w:rPr>
          <w:rFonts w:eastAsiaTheme="minorEastAsia"/>
          <w:szCs w:val="20"/>
          <w:rtl/>
        </w:rPr>
        <w:t>51</w:t>
      </w:r>
      <w:r w:rsidRPr="00696A30">
        <w:rPr>
          <w:rFonts w:eastAsiaTheme="minorEastAsia"/>
          <w:szCs w:val="20"/>
          <w:rtl/>
        </w:rPr>
        <w:t>-</w:t>
      </w:r>
      <w:r w:rsidRPr="00696A30">
        <w:rPr>
          <w:rFonts w:eastAsiaTheme="minorEastAsia"/>
          <w:rtl/>
        </w:rPr>
        <w:tab/>
        <w:t>ذكر فريق الأمم المتحدة القطري أن الدراسة الاستقصائية للظروف المعيشية في سورينام عام</w:t>
      </w:r>
      <w:r w:rsidR="007532BE" w:rsidRPr="00696A30">
        <w:rPr>
          <w:rFonts w:eastAsiaTheme="minorEastAsia" w:hint="cs"/>
          <w:rtl/>
        </w:rPr>
        <w:t> </w:t>
      </w:r>
      <w:r w:rsidRPr="00E841A5">
        <w:rPr>
          <w:rFonts w:eastAsiaTheme="minorEastAsia"/>
          <w:szCs w:val="20"/>
          <w:rtl/>
        </w:rPr>
        <w:t>2017</w:t>
      </w:r>
      <w:r w:rsidRPr="00696A30">
        <w:rPr>
          <w:rFonts w:eastAsiaTheme="minorEastAsia"/>
          <w:rtl/>
        </w:rPr>
        <w:t>، التي أجراها مصرف التنمية للبلدان الأمريكية قدرت معدل الفقر الإجمالي ب</w:t>
      </w:r>
      <w:r w:rsidR="0051326C">
        <w:rPr>
          <w:rFonts w:eastAsiaTheme="minorEastAsia" w:hint="cs"/>
          <w:rtl/>
        </w:rPr>
        <w:t>‍</w:t>
      </w:r>
      <w:r w:rsidRPr="00696A30">
        <w:rPr>
          <w:rFonts w:eastAsiaTheme="minorEastAsia"/>
          <w:rtl/>
        </w:rPr>
        <w:t xml:space="preserve"> </w:t>
      </w:r>
      <w:r w:rsidRPr="00E841A5">
        <w:rPr>
          <w:rFonts w:eastAsiaTheme="minorEastAsia"/>
          <w:szCs w:val="20"/>
          <w:rtl/>
        </w:rPr>
        <w:t>26</w:t>
      </w:r>
      <w:r w:rsidRPr="00696A30">
        <w:rPr>
          <w:rFonts w:eastAsiaTheme="minorEastAsia"/>
          <w:rtl/>
        </w:rPr>
        <w:t xml:space="preserve"> في المائة. غير أنه ذكر أن نسبة الفقر في المناطق الداخلية للبلد أعلى بكثير، حيث بلغت </w:t>
      </w:r>
      <w:r w:rsidRPr="00E841A5">
        <w:rPr>
          <w:rFonts w:eastAsiaTheme="minorEastAsia"/>
          <w:szCs w:val="20"/>
          <w:rtl/>
        </w:rPr>
        <w:t>47</w:t>
      </w:r>
      <w:r w:rsidR="003949EA" w:rsidRPr="00696A30">
        <w:rPr>
          <w:rFonts w:eastAsiaTheme="minorEastAsia" w:hint="cs"/>
          <w:szCs w:val="20"/>
          <w:rtl/>
        </w:rPr>
        <w:t>,</w:t>
      </w:r>
      <w:r w:rsidRPr="00E841A5">
        <w:rPr>
          <w:rFonts w:eastAsiaTheme="minorEastAsia"/>
          <w:szCs w:val="20"/>
          <w:rtl/>
        </w:rPr>
        <w:t>9</w:t>
      </w:r>
      <w:r w:rsidRPr="00696A30">
        <w:rPr>
          <w:rFonts w:eastAsiaTheme="minorEastAsia"/>
          <w:rtl/>
        </w:rPr>
        <w:t xml:space="preserve"> في المائة، وحيث صُنفت نصف الأسر تقريب</w:t>
      </w:r>
      <w:r w:rsidR="004B1A4F" w:rsidRPr="00696A30">
        <w:rPr>
          <w:rFonts w:eastAsiaTheme="minorEastAsia"/>
          <w:rtl/>
        </w:rPr>
        <w:t xml:space="preserve">اً </w:t>
      </w:r>
      <w:r w:rsidRPr="00696A30">
        <w:rPr>
          <w:rFonts w:eastAsiaTheme="minorEastAsia"/>
          <w:rtl/>
        </w:rPr>
        <w:t xml:space="preserve">ضمن الأسر </w:t>
      </w:r>
      <w:proofErr w:type="gramStart"/>
      <w:r w:rsidRPr="00696A30">
        <w:rPr>
          <w:rFonts w:eastAsiaTheme="minorEastAsia"/>
          <w:rtl/>
        </w:rPr>
        <w:t>الفقيرة</w:t>
      </w:r>
      <w:r w:rsidRPr="00696A30">
        <w:rPr>
          <w:rFonts w:eastAsiaTheme="minorEastAsia"/>
          <w:vertAlign w:val="superscript"/>
          <w:rtl/>
        </w:rPr>
        <w:t>(</w:t>
      </w:r>
      <w:proofErr w:type="gramEnd"/>
      <w:r w:rsidRPr="00E841A5">
        <w:rPr>
          <w:rStyle w:val="EndnoteReference"/>
          <w:rFonts w:eastAsiaTheme="minorEastAsia"/>
          <w:lang w:val="en-US"/>
        </w:rPr>
        <w:endnoteReference w:id="62"/>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70D367B9" w14:textId="1DF4EB56" w:rsidR="00056D32" w:rsidRPr="00AD545D" w:rsidRDefault="00056D32" w:rsidP="00056D32">
      <w:pPr>
        <w:pStyle w:val="SingleTxtGA"/>
        <w:rPr>
          <w:rFonts w:eastAsiaTheme="minorEastAsia"/>
          <w:szCs w:val="20"/>
          <w:lang w:val="en-US" w:eastAsia="zh-TW" w:bidi="en-GB"/>
        </w:rPr>
      </w:pPr>
      <w:r w:rsidRPr="00E841A5">
        <w:rPr>
          <w:rFonts w:eastAsiaTheme="minorEastAsia"/>
          <w:szCs w:val="20"/>
          <w:rtl/>
        </w:rPr>
        <w:t>52</w:t>
      </w:r>
      <w:r w:rsidRPr="00696A30">
        <w:rPr>
          <w:rFonts w:eastAsiaTheme="minorEastAsia"/>
          <w:szCs w:val="20"/>
          <w:rtl/>
        </w:rPr>
        <w:t>-</w:t>
      </w:r>
      <w:r w:rsidRPr="00696A30">
        <w:rPr>
          <w:rFonts w:eastAsiaTheme="minorEastAsia"/>
          <w:rtl/>
        </w:rPr>
        <w:tab/>
        <w:t>ولاحظت اللجنة المعنية بالقضاء على التمييز ضد المرأة بقلق ارتفاع معدل الفقر بشدة بين النساء الريفيات ونساء المارون ونساء الشعوب الأصلية، ووصولهن المحدود جد</w:t>
      </w:r>
      <w:r w:rsidR="004B1A4F" w:rsidRPr="00696A30">
        <w:rPr>
          <w:rFonts w:eastAsiaTheme="minorEastAsia"/>
          <w:rtl/>
        </w:rPr>
        <w:t xml:space="preserve">اً </w:t>
      </w:r>
      <w:r w:rsidRPr="00696A30">
        <w:rPr>
          <w:rFonts w:eastAsiaTheme="minorEastAsia"/>
          <w:rtl/>
        </w:rPr>
        <w:t>إلى الخدمات الأساسية، بما في ذلك الخدمات الصحية، والتعليم، والمياه النظيفة، والمرافق الصحية الملائمة، والطاقة، وتكنولوجيا</w:t>
      </w:r>
      <w:r w:rsidR="007532BE" w:rsidRPr="00696A30">
        <w:rPr>
          <w:rFonts w:eastAsiaTheme="minorEastAsia" w:hint="cs"/>
          <w:rtl/>
        </w:rPr>
        <w:t> </w:t>
      </w:r>
      <w:proofErr w:type="gramStart"/>
      <w:r w:rsidRPr="00696A30">
        <w:rPr>
          <w:rFonts w:eastAsiaTheme="minorEastAsia"/>
          <w:rtl/>
        </w:rPr>
        <w:t>الاتصالات</w:t>
      </w:r>
      <w:r w:rsidRPr="00696A30">
        <w:rPr>
          <w:rFonts w:eastAsiaTheme="minorEastAsia"/>
          <w:vertAlign w:val="superscript"/>
          <w:rtl/>
        </w:rPr>
        <w:t>(</w:t>
      </w:r>
      <w:proofErr w:type="gramEnd"/>
      <w:r w:rsidRPr="00E841A5">
        <w:rPr>
          <w:rStyle w:val="EndnoteReference"/>
          <w:rFonts w:eastAsiaTheme="minorEastAsia"/>
          <w:lang w:val="en-US"/>
        </w:rPr>
        <w:endnoteReference w:id="63"/>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793F1E44" w14:textId="5D252004"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53</w:t>
      </w:r>
      <w:r w:rsidRPr="00696A30">
        <w:rPr>
          <w:rFonts w:eastAsiaTheme="minorEastAsia"/>
          <w:szCs w:val="20"/>
          <w:rtl/>
        </w:rPr>
        <w:t>-</w:t>
      </w:r>
      <w:r w:rsidRPr="00696A30">
        <w:rPr>
          <w:rFonts w:eastAsiaTheme="minorEastAsia"/>
          <w:rtl/>
        </w:rPr>
        <w:tab/>
        <w:t>وأوصى الفريق القطري بأن تضع الحكومة خط</w:t>
      </w:r>
      <w:r w:rsidR="004B1A4F" w:rsidRPr="00696A30">
        <w:rPr>
          <w:rFonts w:eastAsiaTheme="minorEastAsia"/>
          <w:rtl/>
        </w:rPr>
        <w:t xml:space="preserve">اً </w:t>
      </w:r>
      <w:r w:rsidRPr="00696A30">
        <w:rPr>
          <w:rFonts w:eastAsiaTheme="minorEastAsia"/>
          <w:rtl/>
        </w:rPr>
        <w:t>للفقر كي تكون التدخلات الهادفة موجهة توجيها</w:t>
      </w:r>
      <w:r w:rsidR="0051326C">
        <w:rPr>
          <w:rFonts w:eastAsiaTheme="minorEastAsia" w:hint="cs"/>
          <w:rtl/>
        </w:rPr>
        <w:t>ً</w:t>
      </w:r>
      <w:r w:rsidR="007532BE" w:rsidRPr="00696A30">
        <w:rPr>
          <w:rFonts w:eastAsiaTheme="minorEastAsia" w:hint="eastAsia"/>
          <w:rtl/>
        </w:rPr>
        <w:t> </w:t>
      </w:r>
      <w:proofErr w:type="gramStart"/>
      <w:r w:rsidRPr="00696A30">
        <w:rPr>
          <w:rFonts w:eastAsiaTheme="minorEastAsia"/>
          <w:rtl/>
        </w:rPr>
        <w:t>صحيحا</w:t>
      </w:r>
      <w:r w:rsidRPr="00696A30">
        <w:rPr>
          <w:rFonts w:eastAsiaTheme="minorEastAsia" w:hint="cs"/>
          <w:rtl/>
        </w:rPr>
        <w:t>ً</w:t>
      </w:r>
      <w:r w:rsidRPr="00696A30">
        <w:rPr>
          <w:rFonts w:eastAsiaTheme="minorEastAsia"/>
          <w:vertAlign w:val="superscript"/>
          <w:rtl/>
        </w:rPr>
        <w:t>(</w:t>
      </w:r>
      <w:proofErr w:type="gramEnd"/>
      <w:r w:rsidRPr="00E841A5">
        <w:rPr>
          <w:rStyle w:val="EndnoteReference"/>
          <w:rFonts w:eastAsiaTheme="minorEastAsia"/>
          <w:color w:val="000000"/>
          <w:lang w:val="en-US" w:eastAsia="en-GB"/>
        </w:rPr>
        <w:endnoteReference w:id="64"/>
      </w:r>
      <w:r w:rsidR="000E5FB0" w:rsidRPr="00696A30">
        <w:rPr>
          <w:rStyle w:val="EndnoteReference"/>
          <w:rFonts w:eastAsiaTheme="minorEastAsia"/>
          <w:color w:val="000000"/>
          <w:rtl/>
        </w:rPr>
        <w:t>)</w:t>
      </w:r>
      <w:r w:rsidR="000E5FB0" w:rsidRPr="00696A30">
        <w:rPr>
          <w:rStyle w:val="EndnoteReference"/>
          <w:rFonts w:eastAsiaTheme="minorEastAsia"/>
          <w:color w:val="000000"/>
          <w:vertAlign w:val="baseline"/>
          <w:rtl/>
        </w:rPr>
        <w:t>.</w:t>
      </w:r>
    </w:p>
    <w:p w14:paraId="0579036E" w14:textId="41E182D3" w:rsidR="00056D32" w:rsidRPr="00696A30" w:rsidRDefault="00056D32" w:rsidP="00056D32">
      <w:pPr>
        <w:pStyle w:val="SingleTxtGA"/>
        <w:rPr>
          <w:rFonts w:eastAsiaTheme="minorEastAsia"/>
          <w:szCs w:val="20"/>
          <w:lang w:val="en-US" w:eastAsia="zh-TW" w:bidi="en-GB"/>
        </w:rPr>
      </w:pPr>
      <w:r w:rsidRPr="00E841A5">
        <w:rPr>
          <w:rFonts w:eastAsiaTheme="minorEastAsia"/>
          <w:szCs w:val="20"/>
          <w:rtl/>
        </w:rPr>
        <w:t>54</w:t>
      </w:r>
      <w:r w:rsidRPr="00696A30">
        <w:rPr>
          <w:rFonts w:eastAsiaTheme="minorEastAsia"/>
          <w:szCs w:val="20"/>
          <w:rtl/>
        </w:rPr>
        <w:t>-</w:t>
      </w:r>
      <w:r w:rsidRPr="00696A30">
        <w:rPr>
          <w:rFonts w:eastAsiaTheme="minorEastAsia"/>
          <w:rtl/>
        </w:rPr>
        <w:tab/>
      </w:r>
      <w:r w:rsidRPr="0051326C">
        <w:rPr>
          <w:rFonts w:eastAsiaTheme="minorEastAsia"/>
          <w:spacing w:val="-4"/>
          <w:rtl/>
        </w:rPr>
        <w:t>وأوصت لجنة حقوق الطفل بأن تضع الدولة سياسات عامة وخطة وطنية لمكافحة فقر</w:t>
      </w:r>
      <w:r w:rsidR="007532BE" w:rsidRPr="0051326C">
        <w:rPr>
          <w:rFonts w:eastAsiaTheme="minorEastAsia" w:hint="cs"/>
          <w:spacing w:val="-4"/>
          <w:rtl/>
        </w:rPr>
        <w:t> </w:t>
      </w:r>
      <w:proofErr w:type="gramStart"/>
      <w:r w:rsidRPr="0051326C">
        <w:rPr>
          <w:rFonts w:eastAsiaTheme="minorEastAsia"/>
          <w:spacing w:val="-4"/>
          <w:rtl/>
        </w:rPr>
        <w:t>الأطفال</w:t>
      </w:r>
      <w:r w:rsidRPr="00696A30">
        <w:rPr>
          <w:rFonts w:eastAsiaTheme="minorEastAsia"/>
          <w:vertAlign w:val="superscript"/>
          <w:rtl/>
        </w:rPr>
        <w:t>(</w:t>
      </w:r>
      <w:proofErr w:type="gramEnd"/>
      <w:r w:rsidRPr="00E841A5">
        <w:rPr>
          <w:rStyle w:val="EndnoteReference"/>
          <w:rFonts w:eastAsiaTheme="minorEastAsia"/>
          <w:lang w:val="en-US"/>
        </w:rPr>
        <w:endnoteReference w:id="65"/>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E8535A8" w14:textId="5C593C3B" w:rsidR="00056D32" w:rsidRPr="00696A30" w:rsidRDefault="00056D32" w:rsidP="00AD545D">
      <w:pPr>
        <w:pStyle w:val="SingleTxtGA"/>
        <w:spacing w:line="342" w:lineRule="exact"/>
        <w:rPr>
          <w:rFonts w:eastAsiaTheme="minorEastAsia"/>
          <w:szCs w:val="20"/>
          <w:lang w:val="ar-SA" w:eastAsia="zh-TW" w:bidi="en-GB"/>
        </w:rPr>
      </w:pPr>
      <w:r w:rsidRPr="00E841A5">
        <w:rPr>
          <w:rFonts w:eastAsiaTheme="minorEastAsia"/>
          <w:szCs w:val="20"/>
          <w:rtl/>
        </w:rPr>
        <w:lastRenderedPageBreak/>
        <w:t>55</w:t>
      </w:r>
      <w:r w:rsidRPr="00696A30">
        <w:rPr>
          <w:rFonts w:eastAsiaTheme="minorEastAsia"/>
          <w:szCs w:val="20"/>
          <w:rtl/>
        </w:rPr>
        <w:t>-</w:t>
      </w:r>
      <w:r w:rsidRPr="00696A30">
        <w:rPr>
          <w:rFonts w:eastAsiaTheme="minorEastAsia"/>
          <w:rtl/>
        </w:rPr>
        <w:tab/>
        <w:t>وأوصت اللجنة نفسها أيض</w:t>
      </w:r>
      <w:r w:rsidR="004B1A4F" w:rsidRPr="00696A30">
        <w:rPr>
          <w:rFonts w:eastAsiaTheme="minorEastAsia"/>
          <w:rtl/>
        </w:rPr>
        <w:t xml:space="preserve">اً </w:t>
      </w:r>
      <w:r w:rsidRPr="00696A30">
        <w:rPr>
          <w:rFonts w:eastAsiaTheme="minorEastAsia"/>
          <w:rtl/>
        </w:rPr>
        <w:t xml:space="preserve">بأن تكفل الدولة إمكانية الوصول إلى مصادر المياه المحسنة ومرافق الصرف الصحي، ولا سيما للأشخاص الذين يعيشون في المناطق الداخلية، بسبل منها توسيع برنامج المياه والصرف الصحي والنظافة الصحية في جميع أنحاء المناطق الداخلية ليشمل المجتمعات المحلية للهنود الأمريكيين والمارون، وذلك بالتعاون مع منظمة الأمم المتحدة </w:t>
      </w:r>
      <w:proofErr w:type="gramStart"/>
      <w:r w:rsidRPr="00696A30">
        <w:rPr>
          <w:rFonts w:eastAsiaTheme="minorEastAsia"/>
          <w:rtl/>
        </w:rPr>
        <w:t>للطفولة</w:t>
      </w:r>
      <w:r w:rsidRPr="00696A30">
        <w:rPr>
          <w:rFonts w:eastAsiaTheme="minorEastAsia"/>
          <w:vertAlign w:val="superscript"/>
          <w:rtl/>
        </w:rPr>
        <w:t>(</w:t>
      </w:r>
      <w:proofErr w:type="gramEnd"/>
      <w:r w:rsidRPr="00E841A5">
        <w:rPr>
          <w:rStyle w:val="EndnoteReference"/>
          <w:rFonts w:eastAsiaTheme="minorEastAsia"/>
          <w:lang w:val="en-US"/>
        </w:rPr>
        <w:endnoteReference w:id="66"/>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27682555" w14:textId="46EFD6AA" w:rsidR="00056D32" w:rsidRPr="00696A30" w:rsidRDefault="00056D32" w:rsidP="00AD545D">
      <w:pPr>
        <w:pStyle w:val="SingleTxtGA"/>
        <w:spacing w:line="342" w:lineRule="exact"/>
        <w:rPr>
          <w:rFonts w:eastAsiaTheme="minorEastAsia"/>
          <w:szCs w:val="20"/>
          <w:lang w:val="en-US" w:eastAsia="zh-TW" w:bidi="en-GB"/>
        </w:rPr>
      </w:pPr>
      <w:r w:rsidRPr="00E841A5">
        <w:rPr>
          <w:rFonts w:eastAsiaTheme="minorEastAsia"/>
          <w:szCs w:val="20"/>
          <w:rtl/>
        </w:rPr>
        <w:t>56</w:t>
      </w:r>
      <w:r w:rsidRPr="00696A30">
        <w:rPr>
          <w:rFonts w:eastAsiaTheme="minorEastAsia"/>
          <w:szCs w:val="20"/>
          <w:rtl/>
        </w:rPr>
        <w:t>-</w:t>
      </w:r>
      <w:r w:rsidRPr="00696A30">
        <w:rPr>
          <w:rFonts w:eastAsiaTheme="minorEastAsia"/>
          <w:rtl/>
        </w:rPr>
        <w:tab/>
      </w:r>
      <w:r w:rsidRPr="00AD545D">
        <w:rPr>
          <w:rFonts w:eastAsiaTheme="minorEastAsia"/>
          <w:spacing w:val="-4"/>
          <w:rtl/>
        </w:rPr>
        <w:t>وأوصت اللجنة نفسها كذلك بمبادرات حكومية محددة الهدف للحد من نقص التغذية بين</w:t>
      </w:r>
      <w:r w:rsidR="007532BE" w:rsidRPr="00AD545D">
        <w:rPr>
          <w:rFonts w:eastAsiaTheme="minorEastAsia" w:hint="cs"/>
          <w:spacing w:val="-4"/>
          <w:rtl/>
        </w:rPr>
        <w:t> </w:t>
      </w:r>
      <w:proofErr w:type="gramStart"/>
      <w:r w:rsidRPr="00AD545D">
        <w:rPr>
          <w:rFonts w:eastAsiaTheme="minorEastAsia"/>
          <w:spacing w:val="-4"/>
          <w:rtl/>
        </w:rPr>
        <w:t>الأطفال</w:t>
      </w:r>
      <w:r w:rsidRPr="00696A30">
        <w:rPr>
          <w:rFonts w:eastAsiaTheme="minorEastAsia"/>
          <w:vertAlign w:val="superscript"/>
          <w:rtl/>
        </w:rPr>
        <w:t>(</w:t>
      </w:r>
      <w:proofErr w:type="gramEnd"/>
      <w:r w:rsidRPr="00E841A5">
        <w:rPr>
          <w:rStyle w:val="EndnoteReference"/>
          <w:rFonts w:eastAsiaTheme="minorEastAsia"/>
          <w:lang w:val="en-US"/>
        </w:rPr>
        <w:endnoteReference w:id="67"/>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616CE34D" w14:textId="7C508DB6" w:rsidR="00056D32" w:rsidRPr="00E841A5" w:rsidRDefault="00056D32" w:rsidP="00056D32">
      <w:pPr>
        <w:pStyle w:val="H23GA"/>
        <w:rPr>
          <w:rFonts w:eastAsiaTheme="minorEastAsia"/>
          <w:szCs w:val="20"/>
          <w:lang w:val="ar-SA" w:eastAsia="zh-TW" w:bidi="en-GB"/>
        </w:rPr>
      </w:pPr>
      <w:r w:rsidRPr="00E841A5">
        <w:rPr>
          <w:rFonts w:eastAsiaTheme="minorEastAsia"/>
          <w:szCs w:val="20"/>
          <w:rtl/>
        </w:rPr>
        <w:tab/>
        <w:t>4-</w:t>
      </w:r>
      <w:r w:rsidRPr="00E841A5">
        <w:rPr>
          <w:rFonts w:eastAsiaTheme="minorEastAsia"/>
          <w:rtl/>
        </w:rPr>
        <w:tab/>
        <w:t>الحق في الصحة</w:t>
      </w:r>
      <w:r w:rsidRPr="00696A30">
        <w:rPr>
          <w:rStyle w:val="EndnoteReference"/>
          <w:rFonts w:eastAsiaTheme="minorEastAsia"/>
          <w:b w:val="0"/>
          <w:bCs w:val="0"/>
          <w:rtl/>
        </w:rPr>
        <w:t>(</w:t>
      </w:r>
      <w:r w:rsidRPr="00E841A5">
        <w:rPr>
          <w:rStyle w:val="EndnoteReference"/>
          <w:rFonts w:eastAsiaTheme="minorEastAsia"/>
          <w:b w:val="0"/>
          <w:bCs w:val="0"/>
          <w:lang w:val="en-US"/>
        </w:rPr>
        <w:endnoteReference w:id="68"/>
      </w:r>
      <w:r w:rsidRPr="00696A30">
        <w:rPr>
          <w:rStyle w:val="EndnoteReference"/>
          <w:rFonts w:eastAsiaTheme="minorEastAsia"/>
          <w:b w:val="0"/>
          <w:bCs w:val="0"/>
          <w:rtl/>
        </w:rPr>
        <w:t>)</w:t>
      </w:r>
    </w:p>
    <w:p w14:paraId="2958EE5F" w14:textId="0285BF50" w:rsidR="00056D32" w:rsidRPr="00696A30" w:rsidRDefault="00056D32" w:rsidP="00AD545D">
      <w:pPr>
        <w:pStyle w:val="SingleTxtGA"/>
        <w:spacing w:line="342" w:lineRule="exact"/>
        <w:rPr>
          <w:rFonts w:eastAsiaTheme="minorEastAsia"/>
          <w:szCs w:val="20"/>
          <w:lang w:val="ar-SA" w:eastAsia="zh-TW" w:bidi="en-GB"/>
        </w:rPr>
      </w:pPr>
      <w:r w:rsidRPr="00E841A5">
        <w:rPr>
          <w:rFonts w:eastAsiaTheme="minorEastAsia"/>
          <w:szCs w:val="20"/>
          <w:rtl/>
        </w:rPr>
        <w:t>57</w:t>
      </w:r>
      <w:r w:rsidRPr="00696A30">
        <w:rPr>
          <w:rFonts w:eastAsiaTheme="minorEastAsia"/>
          <w:szCs w:val="20"/>
          <w:rtl/>
        </w:rPr>
        <w:t>-</w:t>
      </w:r>
      <w:r w:rsidRPr="00696A30">
        <w:rPr>
          <w:rFonts w:eastAsiaTheme="minorEastAsia"/>
          <w:rtl/>
        </w:rPr>
        <w:tab/>
        <w:t>ذكر فريق الأمم المتحدة القطري أن عدم المساواة في الحصول على الخدمات الصحية الأساسية واستخدامها لا يزال جلي</w:t>
      </w:r>
      <w:r w:rsidR="004B1A4F" w:rsidRPr="00696A30">
        <w:rPr>
          <w:rFonts w:eastAsiaTheme="minorEastAsia"/>
          <w:rtl/>
        </w:rPr>
        <w:t xml:space="preserve">اً، </w:t>
      </w:r>
      <w:r w:rsidRPr="00696A30">
        <w:rPr>
          <w:rFonts w:eastAsiaTheme="minorEastAsia"/>
          <w:rtl/>
        </w:rPr>
        <w:t>بسبب أوجه عدم المساواة المتصلة بنوع الجنس والموقع الجغرافي والوضع الاجتماعي</w:t>
      </w:r>
      <w:r w:rsidR="007532BE" w:rsidRPr="00696A30">
        <w:rPr>
          <w:rFonts w:eastAsiaTheme="minorEastAsia" w:hint="cs"/>
          <w:rtl/>
        </w:rPr>
        <w:t xml:space="preserve"> </w:t>
      </w:r>
      <w:r w:rsidRPr="00696A30">
        <w:rPr>
          <w:rFonts w:eastAsiaTheme="minorEastAsia"/>
          <w:rtl/>
        </w:rPr>
        <w:t>-</w:t>
      </w:r>
      <w:r w:rsidR="007532BE" w:rsidRPr="00696A30">
        <w:rPr>
          <w:rFonts w:eastAsiaTheme="minorEastAsia" w:hint="cs"/>
          <w:rtl/>
        </w:rPr>
        <w:t xml:space="preserve"> </w:t>
      </w:r>
      <w:r w:rsidRPr="00696A30">
        <w:rPr>
          <w:rFonts w:eastAsiaTheme="minorEastAsia"/>
          <w:rtl/>
        </w:rPr>
        <w:t>الاقتصادي. وظل الحصول على الرعاية المتخصصة لمن يعيشون في المناطق الداخلية محدود</w:t>
      </w:r>
      <w:r w:rsidR="004B1A4F" w:rsidRPr="00696A30">
        <w:rPr>
          <w:rFonts w:eastAsiaTheme="minorEastAsia"/>
          <w:rtl/>
        </w:rPr>
        <w:t xml:space="preserve">اً، </w:t>
      </w:r>
      <w:r w:rsidRPr="00696A30">
        <w:rPr>
          <w:rFonts w:eastAsiaTheme="minorEastAsia"/>
          <w:rtl/>
        </w:rPr>
        <w:t xml:space="preserve">حيث يتعين على الأشخاص الذين يحتاجون إلى الرعاية السفر إلى </w:t>
      </w:r>
      <w:proofErr w:type="gramStart"/>
      <w:r w:rsidRPr="00696A30">
        <w:rPr>
          <w:rFonts w:eastAsiaTheme="minorEastAsia"/>
          <w:rtl/>
        </w:rPr>
        <w:t>باراماريبو</w:t>
      </w:r>
      <w:r w:rsidRPr="00696A30">
        <w:rPr>
          <w:rFonts w:eastAsiaTheme="minorEastAsia"/>
          <w:vertAlign w:val="superscript"/>
          <w:rtl/>
        </w:rPr>
        <w:t>(</w:t>
      </w:r>
      <w:proofErr w:type="gramEnd"/>
      <w:r w:rsidRPr="00E841A5">
        <w:rPr>
          <w:rStyle w:val="EndnoteReference"/>
          <w:rFonts w:eastAsiaTheme="minorEastAsia"/>
          <w:lang w:val="en-US"/>
        </w:rPr>
        <w:endnoteReference w:id="69"/>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3BD6D7B" w14:textId="6FF45BA0" w:rsidR="00056D32" w:rsidRPr="00696A30" w:rsidRDefault="00056D32" w:rsidP="00AD545D">
      <w:pPr>
        <w:pStyle w:val="SingleTxtGA"/>
        <w:spacing w:line="342" w:lineRule="exact"/>
        <w:rPr>
          <w:rFonts w:eastAsiaTheme="minorEastAsia"/>
          <w:szCs w:val="20"/>
          <w:lang w:val="ar-SA" w:eastAsia="zh-TW" w:bidi="en-GB"/>
        </w:rPr>
      </w:pPr>
      <w:r w:rsidRPr="00E841A5">
        <w:rPr>
          <w:rFonts w:eastAsiaTheme="minorEastAsia"/>
          <w:szCs w:val="20"/>
          <w:rtl/>
        </w:rPr>
        <w:t>58</w:t>
      </w:r>
      <w:r w:rsidRPr="00696A30">
        <w:rPr>
          <w:rFonts w:eastAsiaTheme="minorEastAsia"/>
          <w:szCs w:val="20"/>
          <w:rtl/>
        </w:rPr>
        <w:t>-</w:t>
      </w:r>
      <w:r w:rsidRPr="00696A30">
        <w:rPr>
          <w:rFonts w:eastAsiaTheme="minorEastAsia"/>
          <w:rtl/>
        </w:rPr>
        <w:tab/>
        <w:t>ولا تزال اللجنة المعنية بالقضاء على التمييز ضد المرأة قلقة إزاء عدم كفاية التمويل المقدم للقطاع الصحي، مما يؤدي إلى محدودية فرص حصول المرأة على خدمات الرعاية الصحية الأساسية، ولا</w:t>
      </w:r>
      <w:r w:rsidR="004B1A4F" w:rsidRPr="00696A30">
        <w:rPr>
          <w:rFonts w:eastAsiaTheme="minorEastAsia" w:hint="cs"/>
          <w:rtl/>
        </w:rPr>
        <w:t> </w:t>
      </w:r>
      <w:r w:rsidRPr="00696A30">
        <w:rPr>
          <w:rFonts w:eastAsiaTheme="minorEastAsia"/>
          <w:rtl/>
        </w:rPr>
        <w:t>سيما بالنسبة للنساء الريفيات ونساء المارون ونساء الشعوب الأصلية، اللاتي كثير</w:t>
      </w:r>
      <w:r w:rsidR="004B1A4F" w:rsidRPr="00696A30">
        <w:rPr>
          <w:rFonts w:eastAsiaTheme="minorEastAsia"/>
          <w:rtl/>
        </w:rPr>
        <w:t xml:space="preserve">اً </w:t>
      </w:r>
      <w:r w:rsidRPr="00696A30">
        <w:rPr>
          <w:rFonts w:eastAsiaTheme="minorEastAsia"/>
          <w:rtl/>
        </w:rPr>
        <w:t xml:space="preserve">ما يُضطررن للسفر إلى باراماريبو للحصول على علاج طبي </w:t>
      </w:r>
      <w:proofErr w:type="gramStart"/>
      <w:r w:rsidRPr="00696A30">
        <w:rPr>
          <w:rFonts w:eastAsiaTheme="minorEastAsia"/>
          <w:rtl/>
        </w:rPr>
        <w:t>متخصص</w:t>
      </w:r>
      <w:r w:rsidRPr="00696A30">
        <w:rPr>
          <w:rFonts w:eastAsiaTheme="minorEastAsia"/>
          <w:vertAlign w:val="superscript"/>
          <w:rtl/>
        </w:rPr>
        <w:t>(</w:t>
      </w:r>
      <w:proofErr w:type="gramEnd"/>
      <w:r w:rsidRPr="00E841A5">
        <w:rPr>
          <w:rStyle w:val="EndnoteReference"/>
          <w:rFonts w:eastAsiaTheme="minorEastAsia"/>
          <w:lang w:val="en-US"/>
        </w:rPr>
        <w:endnoteReference w:id="70"/>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251DDFA7" w14:textId="49B6ED07" w:rsidR="00056D32" w:rsidRPr="00696A30" w:rsidRDefault="00056D32" w:rsidP="00AD545D">
      <w:pPr>
        <w:pStyle w:val="SingleTxtGA"/>
        <w:spacing w:line="342" w:lineRule="exact"/>
        <w:rPr>
          <w:rFonts w:eastAsiaTheme="minorEastAsia"/>
          <w:szCs w:val="20"/>
          <w:lang w:val="ar-SA" w:eastAsia="zh-TW" w:bidi="en-GB"/>
        </w:rPr>
      </w:pPr>
      <w:r w:rsidRPr="00E841A5">
        <w:rPr>
          <w:rFonts w:eastAsiaTheme="minorEastAsia"/>
          <w:szCs w:val="20"/>
          <w:rtl/>
        </w:rPr>
        <w:t>59</w:t>
      </w:r>
      <w:r w:rsidRPr="00696A30">
        <w:rPr>
          <w:rFonts w:eastAsiaTheme="minorEastAsia"/>
          <w:szCs w:val="20"/>
          <w:rtl/>
        </w:rPr>
        <w:t>-</w:t>
      </w:r>
      <w:r w:rsidRPr="00696A30">
        <w:rPr>
          <w:rFonts w:eastAsiaTheme="minorEastAsia"/>
          <w:rtl/>
        </w:rPr>
        <w:tab/>
        <w:t xml:space="preserve">وقالت اللجنة نفسها إنها لا تزال تشعر بالقلق إزاء نقص خدمات علاج أمراض القلب والأوعية الدموية وفحص السرطان للنساء خارج باراماريبو، رغم ارتفاع معدل الإصابة بأمراض القلب والأوعية الدموية وسرطانات الأعضاء التناسلية، بما في ذلك سرطان الثدي والرحم وعنق </w:t>
      </w:r>
      <w:proofErr w:type="gramStart"/>
      <w:r w:rsidRPr="00696A30">
        <w:rPr>
          <w:rFonts w:eastAsiaTheme="minorEastAsia"/>
          <w:rtl/>
        </w:rPr>
        <w:t>الرحم</w:t>
      </w:r>
      <w:r w:rsidRPr="00696A30">
        <w:rPr>
          <w:rFonts w:eastAsiaTheme="minorEastAsia"/>
          <w:vertAlign w:val="superscript"/>
          <w:rtl/>
        </w:rPr>
        <w:t>(</w:t>
      </w:r>
      <w:proofErr w:type="gramEnd"/>
      <w:r w:rsidRPr="00E841A5">
        <w:rPr>
          <w:rStyle w:val="EndnoteReference"/>
          <w:rFonts w:eastAsiaTheme="minorEastAsia"/>
          <w:lang w:val="en-US"/>
        </w:rPr>
        <w:endnoteReference w:id="71"/>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619C697" w14:textId="40A89B7B" w:rsidR="00056D32" w:rsidRPr="00696A30" w:rsidRDefault="00056D32" w:rsidP="00AD545D">
      <w:pPr>
        <w:pStyle w:val="SingleTxtGA"/>
        <w:spacing w:line="342" w:lineRule="exact"/>
        <w:rPr>
          <w:rFonts w:eastAsiaTheme="minorEastAsia"/>
          <w:szCs w:val="20"/>
          <w:lang w:val="ar-SA" w:eastAsia="zh-TW" w:bidi="en-GB"/>
        </w:rPr>
      </w:pPr>
      <w:r w:rsidRPr="00E841A5">
        <w:rPr>
          <w:rFonts w:eastAsiaTheme="minorEastAsia"/>
          <w:szCs w:val="20"/>
          <w:rtl/>
        </w:rPr>
        <w:t>60</w:t>
      </w:r>
      <w:r w:rsidRPr="00696A30">
        <w:rPr>
          <w:rFonts w:eastAsiaTheme="minorEastAsia"/>
          <w:szCs w:val="20"/>
          <w:rtl/>
        </w:rPr>
        <w:t>-</w:t>
      </w:r>
      <w:r w:rsidRPr="00696A30">
        <w:rPr>
          <w:rFonts w:eastAsiaTheme="minorEastAsia"/>
          <w:rtl/>
        </w:rPr>
        <w:tab/>
        <w:t xml:space="preserve">وأوصت لجنة حقوق الطفل بأن تواصل الدولة تعزيز جهودها لضمان توفير الرعاية الكافية قبل الولادة وبعدها والتصدي لارتفاع معدلات وفيات الرضع والأطفال الذين لا تتجاوز أعمارهم </w:t>
      </w:r>
      <w:r w:rsidRPr="00E841A5">
        <w:rPr>
          <w:rFonts w:eastAsiaTheme="minorEastAsia"/>
          <w:szCs w:val="20"/>
          <w:rtl/>
        </w:rPr>
        <w:t>5</w:t>
      </w:r>
      <w:r w:rsidRPr="00696A30">
        <w:rPr>
          <w:rFonts w:eastAsiaTheme="minorEastAsia"/>
          <w:rtl/>
        </w:rPr>
        <w:t xml:space="preserve"> سنوات، ولاستمرار ارتفاع معدلات وفيات </w:t>
      </w:r>
      <w:proofErr w:type="gramStart"/>
      <w:r w:rsidRPr="00696A30">
        <w:rPr>
          <w:rFonts w:eastAsiaTheme="minorEastAsia"/>
          <w:rtl/>
        </w:rPr>
        <w:t>الأمهات</w:t>
      </w:r>
      <w:r w:rsidRPr="00696A30">
        <w:rPr>
          <w:rFonts w:eastAsiaTheme="minorEastAsia"/>
          <w:vertAlign w:val="superscript"/>
          <w:rtl/>
        </w:rPr>
        <w:t>(</w:t>
      </w:r>
      <w:proofErr w:type="gramEnd"/>
      <w:r w:rsidRPr="00E841A5">
        <w:rPr>
          <w:rStyle w:val="EndnoteReference"/>
          <w:rFonts w:eastAsiaTheme="minorEastAsia"/>
          <w:lang w:val="en-US"/>
        </w:rPr>
        <w:endnoteReference w:id="72"/>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25E435D2" w14:textId="24A97021" w:rsidR="00056D32" w:rsidRPr="00696A30" w:rsidRDefault="00056D32" w:rsidP="00AD545D">
      <w:pPr>
        <w:pStyle w:val="SingleTxtGA"/>
        <w:spacing w:line="342" w:lineRule="exact"/>
        <w:rPr>
          <w:rFonts w:eastAsiaTheme="minorEastAsia"/>
          <w:szCs w:val="20"/>
          <w:lang w:val="ar-SA" w:eastAsia="zh-TW" w:bidi="en-GB"/>
        </w:rPr>
      </w:pPr>
      <w:r w:rsidRPr="00E841A5">
        <w:rPr>
          <w:rFonts w:eastAsiaTheme="minorEastAsia"/>
          <w:szCs w:val="20"/>
          <w:rtl/>
        </w:rPr>
        <w:t>61</w:t>
      </w:r>
      <w:r w:rsidRPr="00696A30">
        <w:rPr>
          <w:rFonts w:eastAsiaTheme="minorEastAsia"/>
          <w:szCs w:val="20"/>
          <w:rtl/>
        </w:rPr>
        <w:t>-</w:t>
      </w:r>
      <w:r w:rsidRPr="00696A30">
        <w:rPr>
          <w:rFonts w:eastAsiaTheme="minorEastAsia"/>
          <w:rtl/>
        </w:rPr>
        <w:tab/>
        <w:t>وأعربت اللجنة نفسها عن قلقها البالغ إزاء ارتفاع معدل حمل المراهقات، وانتشار الأمراض المنقولة جنسي</w:t>
      </w:r>
      <w:r w:rsidR="004B1A4F" w:rsidRPr="00696A30">
        <w:rPr>
          <w:rFonts w:eastAsiaTheme="minorEastAsia"/>
          <w:rtl/>
        </w:rPr>
        <w:t xml:space="preserve">اً </w:t>
      </w:r>
      <w:r w:rsidRPr="00696A30">
        <w:rPr>
          <w:rFonts w:eastAsiaTheme="minorEastAsia"/>
          <w:rtl/>
        </w:rPr>
        <w:t xml:space="preserve">على نطاق واسع بين المراهقات، وارتفاع معدل الإصابة بفيروس نقص المناعة البشرية، ولا سيما بين المراهقات. وقالت إنها تشعر بقلق بالغ إزاء ضعف فرص الحصول على المعلومات والخدمات المتعلقة برعاية الصحة الجنسية </w:t>
      </w:r>
      <w:proofErr w:type="gramStart"/>
      <w:r w:rsidRPr="00696A30">
        <w:rPr>
          <w:rFonts w:eastAsiaTheme="minorEastAsia"/>
          <w:rtl/>
        </w:rPr>
        <w:t>والإنجابية</w:t>
      </w:r>
      <w:r w:rsidRPr="00696A30">
        <w:rPr>
          <w:rFonts w:eastAsiaTheme="minorEastAsia"/>
          <w:vertAlign w:val="superscript"/>
          <w:rtl/>
        </w:rPr>
        <w:t>(</w:t>
      </w:r>
      <w:proofErr w:type="gramEnd"/>
      <w:r w:rsidRPr="00E841A5">
        <w:rPr>
          <w:rStyle w:val="EndnoteReference"/>
          <w:rFonts w:eastAsiaTheme="minorEastAsia"/>
          <w:lang w:val="en-US"/>
        </w:rPr>
        <w:endnoteReference w:id="73"/>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3EF17E26" w14:textId="469D2072" w:rsidR="00056D32" w:rsidRPr="00696A30" w:rsidRDefault="00056D32" w:rsidP="00AD545D">
      <w:pPr>
        <w:pStyle w:val="SingleTxtGA"/>
        <w:spacing w:line="342" w:lineRule="exact"/>
        <w:rPr>
          <w:rFonts w:eastAsiaTheme="minorEastAsia"/>
          <w:szCs w:val="20"/>
          <w:lang w:val="ar-SA" w:eastAsia="zh-TW" w:bidi="en-GB"/>
        </w:rPr>
      </w:pPr>
      <w:r w:rsidRPr="00E841A5">
        <w:rPr>
          <w:rFonts w:eastAsiaTheme="minorEastAsia"/>
          <w:szCs w:val="20"/>
          <w:rtl/>
        </w:rPr>
        <w:t>62</w:t>
      </w:r>
      <w:r w:rsidRPr="00696A30">
        <w:rPr>
          <w:rFonts w:eastAsiaTheme="minorEastAsia"/>
          <w:szCs w:val="20"/>
          <w:rtl/>
        </w:rPr>
        <w:t>-</w:t>
      </w:r>
      <w:r w:rsidRPr="00696A30">
        <w:rPr>
          <w:rFonts w:eastAsiaTheme="minorEastAsia"/>
          <w:rtl/>
        </w:rPr>
        <w:tab/>
        <w:t xml:space="preserve">وأوصى الفريق القطري بأن تحسن الحكومة وصول السكان المهمشين والضعفاء إلى الخدمات والسلع الأساسية المرتبطة برعاية جيدة للصحة الجنسية </w:t>
      </w:r>
      <w:proofErr w:type="gramStart"/>
      <w:r w:rsidRPr="00696A30">
        <w:rPr>
          <w:rFonts w:eastAsiaTheme="minorEastAsia"/>
          <w:rtl/>
        </w:rPr>
        <w:t>والإنجابية</w:t>
      </w:r>
      <w:r w:rsidRPr="00696A30">
        <w:rPr>
          <w:rFonts w:eastAsiaTheme="minorEastAsia"/>
          <w:vertAlign w:val="superscript"/>
          <w:rtl/>
        </w:rPr>
        <w:t>(</w:t>
      </w:r>
      <w:proofErr w:type="gramEnd"/>
      <w:r w:rsidRPr="00E841A5">
        <w:rPr>
          <w:rStyle w:val="EndnoteReference"/>
          <w:rFonts w:eastAsiaTheme="minorEastAsia"/>
          <w:lang w:val="en-US"/>
        </w:rPr>
        <w:endnoteReference w:id="74"/>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1814EDF" w14:textId="369FB71C" w:rsidR="00056D32" w:rsidRPr="00696A30" w:rsidRDefault="00056D32" w:rsidP="00AD545D">
      <w:pPr>
        <w:pStyle w:val="SingleTxtGA"/>
        <w:spacing w:line="342" w:lineRule="exact"/>
        <w:rPr>
          <w:rFonts w:eastAsiaTheme="minorEastAsia"/>
          <w:szCs w:val="20"/>
          <w:lang w:val="ar-SA" w:eastAsia="zh-TW" w:bidi="en-GB"/>
        </w:rPr>
      </w:pPr>
      <w:r w:rsidRPr="00E841A5">
        <w:rPr>
          <w:rFonts w:eastAsiaTheme="minorEastAsia"/>
          <w:szCs w:val="20"/>
          <w:rtl/>
        </w:rPr>
        <w:t>63</w:t>
      </w:r>
      <w:r w:rsidRPr="00696A30">
        <w:rPr>
          <w:rFonts w:eastAsiaTheme="minorEastAsia"/>
          <w:szCs w:val="20"/>
          <w:rtl/>
        </w:rPr>
        <w:t>-</w:t>
      </w:r>
      <w:r w:rsidRPr="00696A30">
        <w:rPr>
          <w:rFonts w:eastAsiaTheme="minorEastAsia"/>
          <w:rtl/>
        </w:rPr>
        <w:tab/>
        <w:t xml:space="preserve">وحثت ‎لجنة حقوق الطفل‏ الدولة على ضمان إدراج ثقافة الصحة الجنسية والإنجابية في المناهج الدراسية الإلزامية وتوجيه ذلك التثقيف إلى المراهقات والمراهقين، مع إيلاء اهتمام خاص للوقاية من الحمل المبكر والأمراض المنقولة </w:t>
      </w:r>
      <w:proofErr w:type="gramStart"/>
      <w:r w:rsidRPr="00696A30">
        <w:rPr>
          <w:rFonts w:eastAsiaTheme="minorEastAsia"/>
          <w:rtl/>
        </w:rPr>
        <w:t>جنسي</w:t>
      </w:r>
      <w:r w:rsidRPr="00696A30">
        <w:rPr>
          <w:rFonts w:eastAsiaTheme="minorEastAsia" w:hint="cs"/>
          <w:rtl/>
        </w:rPr>
        <w:t>اً</w:t>
      </w:r>
      <w:r w:rsidRPr="00696A30">
        <w:rPr>
          <w:rFonts w:eastAsiaTheme="minorEastAsia"/>
          <w:vertAlign w:val="superscript"/>
          <w:rtl/>
        </w:rPr>
        <w:t>(</w:t>
      </w:r>
      <w:proofErr w:type="gramEnd"/>
      <w:r w:rsidRPr="00E841A5">
        <w:rPr>
          <w:rStyle w:val="EndnoteReference"/>
          <w:rFonts w:eastAsiaTheme="minorEastAsia"/>
          <w:lang w:val="en-US"/>
        </w:rPr>
        <w:endnoteReference w:id="75"/>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68BB9D65" w14:textId="4A695F39" w:rsidR="00056D32" w:rsidRPr="00696A30" w:rsidRDefault="00056D32" w:rsidP="00AD545D">
      <w:pPr>
        <w:pStyle w:val="SingleTxtGA"/>
        <w:spacing w:line="342" w:lineRule="exact"/>
        <w:rPr>
          <w:rFonts w:eastAsiaTheme="minorEastAsia"/>
          <w:szCs w:val="20"/>
          <w:lang w:val="ar-SA" w:eastAsia="zh-TW" w:bidi="en-GB"/>
        </w:rPr>
      </w:pPr>
      <w:r w:rsidRPr="00E841A5">
        <w:rPr>
          <w:rFonts w:eastAsiaTheme="minorEastAsia"/>
          <w:szCs w:val="20"/>
          <w:rtl/>
        </w:rPr>
        <w:t>64</w:t>
      </w:r>
      <w:r w:rsidRPr="00696A30">
        <w:rPr>
          <w:rFonts w:eastAsiaTheme="minorEastAsia"/>
          <w:szCs w:val="20"/>
          <w:rtl/>
        </w:rPr>
        <w:t>-</w:t>
      </w:r>
      <w:r w:rsidRPr="00696A30">
        <w:rPr>
          <w:rFonts w:eastAsiaTheme="minorEastAsia"/>
          <w:rtl/>
        </w:rPr>
        <w:tab/>
        <w:t xml:space="preserve">ولا تزال اللجنة المعنية بالقضاء على التمييز ضد المرأة قلقة إزاء ارتفاع معدل الإجهاض غير المأمون وعدم وجود تدابير لتنفيذ توصية اللجنة السابقة بتنقيح التشريعات التي تجرم </w:t>
      </w:r>
      <w:proofErr w:type="gramStart"/>
      <w:r w:rsidRPr="00696A30">
        <w:rPr>
          <w:rFonts w:eastAsiaTheme="minorEastAsia"/>
          <w:rtl/>
        </w:rPr>
        <w:t>الإجهاض</w:t>
      </w:r>
      <w:r w:rsidRPr="00696A30">
        <w:rPr>
          <w:rFonts w:eastAsiaTheme="minorEastAsia"/>
          <w:vertAlign w:val="superscript"/>
          <w:rtl/>
        </w:rPr>
        <w:t>(</w:t>
      </w:r>
      <w:proofErr w:type="gramEnd"/>
      <w:r w:rsidRPr="00E841A5">
        <w:rPr>
          <w:rStyle w:val="EndnoteReference"/>
          <w:rFonts w:eastAsiaTheme="minorEastAsia"/>
          <w:lang w:val="en-US"/>
        </w:rPr>
        <w:endnoteReference w:id="76"/>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0922A79" w14:textId="39FC3C3F" w:rsidR="00056D32" w:rsidRPr="00696A30" w:rsidRDefault="00056D32" w:rsidP="00AD545D">
      <w:pPr>
        <w:pStyle w:val="SingleTxtGA"/>
        <w:spacing w:line="342" w:lineRule="exact"/>
        <w:rPr>
          <w:rFonts w:eastAsiaTheme="minorEastAsia"/>
          <w:szCs w:val="20"/>
          <w:lang w:val="ar-SA" w:eastAsia="zh-TW" w:bidi="en-GB"/>
        </w:rPr>
      </w:pPr>
      <w:r w:rsidRPr="00E841A5">
        <w:rPr>
          <w:rFonts w:eastAsiaTheme="minorEastAsia"/>
          <w:szCs w:val="20"/>
          <w:rtl/>
        </w:rPr>
        <w:t>65</w:t>
      </w:r>
      <w:r w:rsidRPr="00696A30">
        <w:rPr>
          <w:rFonts w:eastAsiaTheme="minorEastAsia"/>
          <w:szCs w:val="20"/>
          <w:rtl/>
        </w:rPr>
        <w:t>-</w:t>
      </w:r>
      <w:r w:rsidRPr="00696A30">
        <w:rPr>
          <w:rFonts w:eastAsiaTheme="minorEastAsia"/>
          <w:rtl/>
        </w:rPr>
        <w:tab/>
        <w:t xml:space="preserve">وأوصت اللجنة نفسها بأن تتيح الدولة إمكانية الحصول على وسائل منع الحمل المأمونة والميسورة التكلفة، وخدمات تنظيم الأسرة، وعلى معلومات كافية عن الصحة الجنسية </w:t>
      </w:r>
      <w:proofErr w:type="gramStart"/>
      <w:r w:rsidRPr="00696A30">
        <w:rPr>
          <w:rFonts w:eastAsiaTheme="minorEastAsia"/>
          <w:rtl/>
        </w:rPr>
        <w:t>والإنجابية</w:t>
      </w:r>
      <w:r w:rsidRPr="00696A30">
        <w:rPr>
          <w:rFonts w:eastAsiaTheme="minorEastAsia"/>
          <w:vertAlign w:val="superscript"/>
          <w:rtl/>
        </w:rPr>
        <w:t>(</w:t>
      </w:r>
      <w:proofErr w:type="gramEnd"/>
      <w:r w:rsidRPr="00E841A5">
        <w:rPr>
          <w:rStyle w:val="EndnoteReference"/>
          <w:rFonts w:eastAsiaTheme="minorEastAsia"/>
          <w:lang w:val="en-US"/>
        </w:rPr>
        <w:endnoteReference w:id="77"/>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2742453" w14:textId="40AF3C1E" w:rsidR="00056D32" w:rsidRPr="00696A30" w:rsidRDefault="00056D32" w:rsidP="00AD545D">
      <w:pPr>
        <w:pStyle w:val="SingleTxtGA"/>
        <w:spacing w:line="342" w:lineRule="exact"/>
        <w:rPr>
          <w:rFonts w:eastAsiaTheme="minorEastAsia"/>
          <w:szCs w:val="20"/>
          <w:lang w:val="ar-SA" w:eastAsia="zh-TW" w:bidi="en-GB"/>
        </w:rPr>
      </w:pPr>
      <w:r w:rsidRPr="00E841A5">
        <w:rPr>
          <w:rFonts w:eastAsiaTheme="minorEastAsia"/>
          <w:szCs w:val="20"/>
          <w:rtl/>
        </w:rPr>
        <w:t>66</w:t>
      </w:r>
      <w:r w:rsidRPr="00696A30">
        <w:rPr>
          <w:rFonts w:eastAsiaTheme="minorEastAsia"/>
          <w:szCs w:val="20"/>
          <w:rtl/>
        </w:rPr>
        <w:t>-</w:t>
      </w:r>
      <w:r w:rsidRPr="00696A30">
        <w:rPr>
          <w:rFonts w:eastAsiaTheme="minorEastAsia"/>
          <w:rtl/>
        </w:rPr>
        <w:tab/>
        <w:t>وأوصت لجنة حقوق الطفل بأن تضع الدولة سياسات وبرامج لتعزيز قدرة الأسر والمجتمع المحلي على توفير الرعاية والدعم للأطفال المصابين بفيروس نقص المناعة البشرية/الإيدز، وبأن تواصل الأنشطة الرامية إلى الحد من الوصم والتمييز المتصلين بفيروس نقص المناعة البشرية/الإيدز، بما في ذلك التوعية بحقوق الإنسان في سياق فيروس نقص المناعة البشرية/</w:t>
      </w:r>
      <w:proofErr w:type="gramStart"/>
      <w:r w:rsidRPr="00696A30">
        <w:rPr>
          <w:rFonts w:eastAsiaTheme="minorEastAsia"/>
          <w:rtl/>
        </w:rPr>
        <w:t>الإيدز</w:t>
      </w:r>
      <w:r w:rsidRPr="00696A30">
        <w:rPr>
          <w:rFonts w:eastAsiaTheme="minorEastAsia"/>
          <w:vertAlign w:val="superscript"/>
          <w:rtl/>
        </w:rPr>
        <w:t>(</w:t>
      </w:r>
      <w:proofErr w:type="gramEnd"/>
      <w:r w:rsidRPr="00E841A5">
        <w:rPr>
          <w:rStyle w:val="EndnoteReference"/>
          <w:rFonts w:eastAsiaTheme="minorEastAsia"/>
          <w:lang w:val="en-US"/>
        </w:rPr>
        <w:endnoteReference w:id="78"/>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3CA238C1" w14:textId="08D42863"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lastRenderedPageBreak/>
        <w:t>67</w:t>
      </w:r>
      <w:r w:rsidRPr="00696A30">
        <w:rPr>
          <w:rFonts w:eastAsiaTheme="minorEastAsia"/>
          <w:szCs w:val="20"/>
          <w:rtl/>
        </w:rPr>
        <w:t>-</w:t>
      </w:r>
      <w:r w:rsidRPr="00696A30">
        <w:rPr>
          <w:rFonts w:eastAsiaTheme="minorEastAsia"/>
          <w:rtl/>
        </w:rPr>
        <w:tab/>
        <w:t xml:space="preserve">وأوصى الفريق القطري بأن تنفذ الحكومة الخطة الاستراتيجية الوطنية لفيروس نقص المناعة البشرية للفترة </w:t>
      </w:r>
      <w:r w:rsidRPr="00E841A5">
        <w:rPr>
          <w:rFonts w:eastAsiaTheme="minorEastAsia"/>
          <w:szCs w:val="20"/>
          <w:rtl/>
        </w:rPr>
        <w:t>2021</w:t>
      </w:r>
      <w:r w:rsidRPr="00696A30">
        <w:rPr>
          <w:rFonts w:eastAsiaTheme="minorEastAsia"/>
          <w:szCs w:val="20"/>
          <w:rtl/>
        </w:rPr>
        <w:t>-</w:t>
      </w:r>
      <w:r w:rsidRPr="00E841A5">
        <w:rPr>
          <w:rFonts w:eastAsiaTheme="minorEastAsia"/>
          <w:szCs w:val="20"/>
          <w:rtl/>
        </w:rPr>
        <w:t>2026</w:t>
      </w:r>
      <w:r w:rsidRPr="00696A30">
        <w:rPr>
          <w:rFonts w:eastAsiaTheme="minorEastAsia"/>
          <w:rtl/>
        </w:rPr>
        <w:t xml:space="preserve"> وأن تعزز الرعاية المقدمة للأشخاص المصابين بفيروس نقص المناعة</w:t>
      </w:r>
      <w:r w:rsidR="005C487C" w:rsidRPr="00696A30">
        <w:rPr>
          <w:rFonts w:eastAsiaTheme="minorEastAsia" w:hint="cs"/>
          <w:rtl/>
        </w:rPr>
        <w:t> </w:t>
      </w:r>
      <w:proofErr w:type="gramStart"/>
      <w:r w:rsidRPr="00696A30">
        <w:rPr>
          <w:rFonts w:eastAsiaTheme="minorEastAsia"/>
          <w:rtl/>
        </w:rPr>
        <w:t>البشرية</w:t>
      </w:r>
      <w:r w:rsidRPr="00696A30">
        <w:rPr>
          <w:rFonts w:eastAsiaTheme="minorEastAsia"/>
          <w:vertAlign w:val="superscript"/>
          <w:rtl/>
        </w:rPr>
        <w:t>(</w:t>
      </w:r>
      <w:proofErr w:type="gramEnd"/>
      <w:r w:rsidRPr="00E841A5">
        <w:rPr>
          <w:rStyle w:val="EndnoteReference"/>
          <w:rFonts w:eastAsiaTheme="minorEastAsia"/>
          <w:lang w:val="en-US"/>
        </w:rPr>
        <w:endnoteReference w:id="79"/>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366816B8" w14:textId="012B977B"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68</w:t>
      </w:r>
      <w:r w:rsidRPr="00696A30">
        <w:rPr>
          <w:rFonts w:eastAsiaTheme="minorEastAsia"/>
          <w:szCs w:val="20"/>
          <w:rtl/>
        </w:rPr>
        <w:t>-</w:t>
      </w:r>
      <w:r w:rsidRPr="00696A30">
        <w:rPr>
          <w:rFonts w:eastAsiaTheme="minorEastAsia"/>
          <w:rtl/>
        </w:rPr>
        <w:tab/>
        <w:t xml:space="preserve">وذكر الفريق القطري أن الخطة الوطنية لمنع الانتحار للفترة </w:t>
      </w:r>
      <w:r w:rsidRPr="00E841A5">
        <w:rPr>
          <w:rFonts w:eastAsiaTheme="minorEastAsia"/>
          <w:szCs w:val="20"/>
          <w:rtl/>
        </w:rPr>
        <w:t>2016</w:t>
      </w:r>
      <w:r w:rsidRPr="00696A30">
        <w:rPr>
          <w:rFonts w:eastAsiaTheme="minorEastAsia"/>
          <w:szCs w:val="20"/>
          <w:rtl/>
        </w:rPr>
        <w:t>-</w:t>
      </w:r>
      <w:r w:rsidRPr="00E841A5">
        <w:rPr>
          <w:rFonts w:eastAsiaTheme="minorEastAsia"/>
          <w:szCs w:val="20"/>
          <w:rtl/>
        </w:rPr>
        <w:t>2020</w:t>
      </w:r>
      <w:r w:rsidRPr="00696A30">
        <w:rPr>
          <w:rFonts w:eastAsiaTheme="minorEastAsia"/>
          <w:rtl/>
        </w:rPr>
        <w:t xml:space="preserve"> لم تنفذ بفعالية وأن الانتحار لا يزال يشكل مصدر قلق كبير. وذكر أيض</w:t>
      </w:r>
      <w:r w:rsidR="004B1A4F" w:rsidRPr="00696A30">
        <w:rPr>
          <w:rFonts w:eastAsiaTheme="minorEastAsia"/>
          <w:rtl/>
        </w:rPr>
        <w:t xml:space="preserve">اً </w:t>
      </w:r>
      <w:r w:rsidRPr="00696A30">
        <w:rPr>
          <w:rFonts w:eastAsiaTheme="minorEastAsia"/>
          <w:rtl/>
        </w:rPr>
        <w:t xml:space="preserve">أن سورينام سجلت أعلى درجة في الترتيب العالمي للوفيات الناجمة عن حالات الانتحار ومحاولات الانتحار؛ فقد وصلت نسبة وفيات الانتحار إلى </w:t>
      </w:r>
      <w:r w:rsidRPr="00E841A5">
        <w:rPr>
          <w:rFonts w:eastAsiaTheme="minorEastAsia"/>
          <w:szCs w:val="20"/>
          <w:rtl/>
        </w:rPr>
        <w:t>26</w:t>
      </w:r>
      <w:r w:rsidRPr="00696A30">
        <w:rPr>
          <w:rFonts w:eastAsiaTheme="minorEastAsia"/>
          <w:rtl/>
        </w:rPr>
        <w:t xml:space="preserve"> حالة لك</w:t>
      </w:r>
      <w:r w:rsidR="007532BE" w:rsidRPr="00696A30">
        <w:rPr>
          <w:rFonts w:eastAsiaTheme="minorEastAsia" w:hint="cs"/>
          <w:rtl/>
        </w:rPr>
        <w:t xml:space="preserve">ل </w:t>
      </w:r>
      <w:r w:rsidR="007532BE" w:rsidRPr="00E841A5">
        <w:rPr>
          <w:rFonts w:eastAsiaTheme="minorEastAsia"/>
          <w:szCs w:val="20"/>
          <w:rtl/>
        </w:rPr>
        <w:t>000</w:t>
      </w:r>
      <w:r w:rsidRPr="00696A30">
        <w:rPr>
          <w:rFonts w:eastAsiaTheme="minorEastAsia"/>
          <w:rtl/>
        </w:rPr>
        <w:t xml:space="preserve"> </w:t>
      </w:r>
      <w:r w:rsidRPr="00E841A5">
        <w:rPr>
          <w:rFonts w:eastAsiaTheme="minorEastAsia"/>
          <w:szCs w:val="20"/>
          <w:rtl/>
        </w:rPr>
        <w:t>100</w:t>
      </w:r>
      <w:r w:rsidRPr="00696A30">
        <w:rPr>
          <w:rFonts w:eastAsiaTheme="minorEastAsia"/>
          <w:rtl/>
        </w:rPr>
        <w:t xml:space="preserve"> </w:t>
      </w:r>
      <w:proofErr w:type="gramStart"/>
      <w:r w:rsidRPr="00696A30">
        <w:rPr>
          <w:rFonts w:eastAsiaTheme="minorEastAsia"/>
          <w:rtl/>
        </w:rPr>
        <w:t>نسمة</w:t>
      </w:r>
      <w:r w:rsidRPr="00696A30">
        <w:rPr>
          <w:rFonts w:eastAsiaTheme="minorEastAsia"/>
          <w:vertAlign w:val="superscript"/>
          <w:rtl/>
        </w:rPr>
        <w:t>(</w:t>
      </w:r>
      <w:proofErr w:type="gramEnd"/>
      <w:r w:rsidRPr="00E841A5">
        <w:rPr>
          <w:rStyle w:val="EndnoteReference"/>
          <w:rFonts w:eastAsiaTheme="minorEastAsia"/>
          <w:shd w:val="clear" w:color="auto" w:fill="FFFFFF"/>
          <w:lang w:val="en-US"/>
        </w:rPr>
        <w:endnoteReference w:id="80"/>
      </w:r>
      <w:r w:rsidR="000E5FB0" w:rsidRPr="00696A30">
        <w:rPr>
          <w:rStyle w:val="EndnoteReference"/>
          <w:rFonts w:eastAsiaTheme="minorEastAsia"/>
          <w:shd w:val="clear" w:color="auto" w:fill="FFFFFF"/>
          <w:rtl/>
        </w:rPr>
        <w:t>)</w:t>
      </w:r>
      <w:r w:rsidR="000E5FB0" w:rsidRPr="00696A30">
        <w:rPr>
          <w:rStyle w:val="EndnoteReference"/>
          <w:rFonts w:eastAsiaTheme="minorEastAsia"/>
          <w:shd w:val="clear" w:color="auto" w:fill="FFFFFF"/>
          <w:vertAlign w:val="baseline"/>
          <w:rtl/>
        </w:rPr>
        <w:t>.</w:t>
      </w:r>
    </w:p>
    <w:p w14:paraId="523C70D3" w14:textId="02D60C80"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69</w:t>
      </w:r>
      <w:r w:rsidRPr="00696A30">
        <w:rPr>
          <w:rFonts w:eastAsiaTheme="minorEastAsia"/>
          <w:szCs w:val="20"/>
          <w:rtl/>
        </w:rPr>
        <w:t>-</w:t>
      </w:r>
      <w:r w:rsidRPr="00696A30">
        <w:rPr>
          <w:rFonts w:eastAsiaTheme="minorEastAsia"/>
          <w:rtl/>
        </w:rPr>
        <w:tab/>
        <w:t xml:space="preserve">وأوصت لجنة حقوق الطفل بأن تعزز الدولة نوعية وتوافر خدمات وبرامج الصحة العقلية للأطفال، ولا سيما عن طريق اتخاذ إجراءات عاجلة لتعزيز الجهود الرامية إلى منع الانتحار بين الأطفال والمراهقين، بسبل منها زيادة خدمات المشورة النفسية المتاحة والأخصائيين الاجتماعيين في المدارس والمجتمعات </w:t>
      </w:r>
      <w:proofErr w:type="gramStart"/>
      <w:r w:rsidRPr="00696A30">
        <w:rPr>
          <w:rFonts w:eastAsiaTheme="minorEastAsia"/>
          <w:rtl/>
        </w:rPr>
        <w:t>المحلية</w:t>
      </w:r>
      <w:r w:rsidRPr="00696A30">
        <w:rPr>
          <w:rFonts w:eastAsiaTheme="minorEastAsia"/>
          <w:vertAlign w:val="superscript"/>
          <w:rtl/>
        </w:rPr>
        <w:t>(</w:t>
      </w:r>
      <w:proofErr w:type="gramEnd"/>
      <w:r w:rsidRPr="00E841A5">
        <w:rPr>
          <w:rStyle w:val="EndnoteReference"/>
          <w:rFonts w:eastAsiaTheme="minorEastAsia"/>
          <w:lang w:val="en-US"/>
        </w:rPr>
        <w:endnoteReference w:id="81"/>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73C142A3" w14:textId="66E4884F"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70</w:t>
      </w:r>
      <w:r w:rsidRPr="00696A30">
        <w:rPr>
          <w:rFonts w:eastAsiaTheme="minorEastAsia"/>
          <w:szCs w:val="20"/>
          <w:rtl/>
        </w:rPr>
        <w:t>-</w:t>
      </w:r>
      <w:r w:rsidRPr="00696A30">
        <w:rPr>
          <w:rFonts w:eastAsiaTheme="minorEastAsia"/>
          <w:rtl/>
        </w:rPr>
        <w:tab/>
        <w:t xml:space="preserve">وأوصى الفريق القطري بأن تضع الحكومة خطة وطنية جديدة للصحة </w:t>
      </w:r>
      <w:proofErr w:type="gramStart"/>
      <w:r w:rsidRPr="00696A30">
        <w:rPr>
          <w:rFonts w:eastAsiaTheme="minorEastAsia"/>
          <w:rtl/>
        </w:rPr>
        <w:t>العقلية</w:t>
      </w:r>
      <w:r w:rsidRPr="00696A30">
        <w:rPr>
          <w:rFonts w:eastAsiaTheme="minorEastAsia"/>
          <w:vertAlign w:val="superscript"/>
          <w:rtl/>
        </w:rPr>
        <w:t>(</w:t>
      </w:r>
      <w:proofErr w:type="gramEnd"/>
      <w:r w:rsidRPr="00E841A5">
        <w:rPr>
          <w:rStyle w:val="EndnoteReference"/>
          <w:rFonts w:eastAsiaTheme="minorEastAsia"/>
          <w:color w:val="000000"/>
          <w:lang w:val="en-US" w:eastAsia="en-GB"/>
        </w:rPr>
        <w:endnoteReference w:id="82"/>
      </w:r>
      <w:r w:rsidR="000E5FB0" w:rsidRPr="00696A30">
        <w:rPr>
          <w:rStyle w:val="EndnoteReference"/>
          <w:rFonts w:eastAsiaTheme="minorEastAsia"/>
          <w:color w:val="000000"/>
          <w:rtl/>
        </w:rPr>
        <w:t>)</w:t>
      </w:r>
      <w:r w:rsidR="000E5FB0" w:rsidRPr="00696A30">
        <w:rPr>
          <w:rStyle w:val="EndnoteReference"/>
          <w:rFonts w:eastAsiaTheme="minorEastAsia"/>
          <w:color w:val="000000"/>
          <w:vertAlign w:val="baseline"/>
          <w:rtl/>
        </w:rPr>
        <w:t>.</w:t>
      </w:r>
    </w:p>
    <w:p w14:paraId="58266E4F" w14:textId="46822298" w:rsidR="00056D32" w:rsidRPr="00696A30" w:rsidRDefault="00056D32" w:rsidP="00056D32">
      <w:pPr>
        <w:pStyle w:val="H23GA"/>
        <w:rPr>
          <w:rFonts w:eastAsiaTheme="minorEastAsia"/>
          <w:b w:val="0"/>
          <w:bCs w:val="0"/>
          <w:szCs w:val="20"/>
          <w:lang w:val="en-US" w:eastAsia="zh-TW" w:bidi="en-GB"/>
        </w:rPr>
      </w:pPr>
      <w:r w:rsidRPr="00E841A5">
        <w:rPr>
          <w:rFonts w:eastAsiaTheme="minorEastAsia"/>
          <w:szCs w:val="20"/>
          <w:rtl/>
        </w:rPr>
        <w:tab/>
        <w:t>5-</w:t>
      </w:r>
      <w:r w:rsidRPr="00E841A5">
        <w:rPr>
          <w:rFonts w:eastAsiaTheme="minorEastAsia"/>
          <w:rtl/>
        </w:rPr>
        <w:tab/>
        <w:t>الحق في التعليم</w:t>
      </w:r>
      <w:r w:rsidRPr="00696A30">
        <w:rPr>
          <w:rStyle w:val="EndnoteReference"/>
          <w:rFonts w:eastAsiaTheme="minorEastAsia"/>
          <w:b w:val="0"/>
          <w:bCs w:val="0"/>
          <w:rtl/>
        </w:rPr>
        <w:t>(</w:t>
      </w:r>
      <w:r w:rsidRPr="00E841A5">
        <w:rPr>
          <w:rStyle w:val="EndnoteReference"/>
          <w:rFonts w:eastAsiaTheme="minorEastAsia"/>
          <w:b w:val="0"/>
          <w:bCs w:val="0"/>
          <w:lang w:val="en-US"/>
        </w:rPr>
        <w:endnoteReference w:id="83"/>
      </w:r>
      <w:r w:rsidRPr="00696A30">
        <w:rPr>
          <w:rStyle w:val="EndnoteReference"/>
          <w:rFonts w:eastAsiaTheme="minorEastAsia"/>
          <w:b w:val="0"/>
          <w:bCs w:val="0"/>
          <w:rtl/>
        </w:rPr>
        <w:t>)</w:t>
      </w:r>
    </w:p>
    <w:p w14:paraId="5562B9B8" w14:textId="1230B9F6"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71</w:t>
      </w:r>
      <w:r w:rsidRPr="00696A30">
        <w:rPr>
          <w:rFonts w:eastAsiaTheme="minorEastAsia"/>
          <w:szCs w:val="20"/>
          <w:rtl/>
        </w:rPr>
        <w:t>-</w:t>
      </w:r>
      <w:r w:rsidRPr="00696A30">
        <w:rPr>
          <w:rFonts w:eastAsiaTheme="minorEastAsia"/>
          <w:rtl/>
        </w:rPr>
        <w:tab/>
        <w:t>أعربت لجنة حقوق الطفل عن قلقها البالغ إزاء نقص المدارس في بعض المناطق النائية وعدم كفاية المدرسين المدربين تدريب</w:t>
      </w:r>
      <w:r w:rsidR="004B1A4F" w:rsidRPr="00696A30">
        <w:rPr>
          <w:rFonts w:eastAsiaTheme="minorEastAsia"/>
          <w:rtl/>
        </w:rPr>
        <w:t xml:space="preserve">اً </w:t>
      </w:r>
      <w:r w:rsidRPr="00696A30">
        <w:rPr>
          <w:rFonts w:eastAsiaTheme="minorEastAsia"/>
          <w:rtl/>
        </w:rPr>
        <w:t>مهني</w:t>
      </w:r>
      <w:r w:rsidR="004B1A4F" w:rsidRPr="00696A30">
        <w:rPr>
          <w:rFonts w:eastAsiaTheme="minorEastAsia"/>
          <w:rtl/>
        </w:rPr>
        <w:t xml:space="preserve">اً </w:t>
      </w:r>
      <w:r w:rsidRPr="00696A30">
        <w:rPr>
          <w:rFonts w:eastAsiaTheme="minorEastAsia"/>
          <w:rtl/>
        </w:rPr>
        <w:t>في جميع مراحل التعليم، وعدم كفاية تدريب المعلمين وعدم توفير ما</w:t>
      </w:r>
      <w:r w:rsidR="004B1A4F" w:rsidRPr="00696A30">
        <w:rPr>
          <w:rFonts w:eastAsiaTheme="minorEastAsia" w:hint="cs"/>
          <w:rtl/>
        </w:rPr>
        <w:t> </w:t>
      </w:r>
      <w:r w:rsidRPr="00696A30">
        <w:rPr>
          <w:rFonts w:eastAsiaTheme="minorEastAsia"/>
          <w:rtl/>
        </w:rPr>
        <w:t xml:space="preserve">يلزمهم من مستلزمات، وضعف الهياكل </w:t>
      </w:r>
      <w:proofErr w:type="gramStart"/>
      <w:r w:rsidRPr="00696A30">
        <w:rPr>
          <w:rFonts w:eastAsiaTheme="minorEastAsia"/>
          <w:rtl/>
        </w:rPr>
        <w:t>الأساسية</w:t>
      </w:r>
      <w:r w:rsidRPr="00696A30">
        <w:rPr>
          <w:rFonts w:eastAsiaTheme="minorEastAsia"/>
          <w:vertAlign w:val="superscript"/>
          <w:rtl/>
        </w:rPr>
        <w:t>(</w:t>
      </w:r>
      <w:proofErr w:type="gramEnd"/>
      <w:r w:rsidRPr="00E841A5">
        <w:rPr>
          <w:rStyle w:val="EndnoteReference"/>
          <w:rFonts w:eastAsiaTheme="minorEastAsia"/>
          <w:lang w:val="en-US"/>
        </w:rPr>
        <w:endnoteReference w:id="84"/>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477BACB2" w14:textId="52FAB528"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72</w:t>
      </w:r>
      <w:r w:rsidRPr="00696A30">
        <w:rPr>
          <w:rFonts w:eastAsiaTheme="minorEastAsia"/>
          <w:szCs w:val="20"/>
          <w:rtl/>
        </w:rPr>
        <w:t>-</w:t>
      </w:r>
      <w:r w:rsidRPr="00696A30">
        <w:rPr>
          <w:rFonts w:eastAsiaTheme="minorEastAsia"/>
          <w:rtl/>
        </w:rPr>
        <w:tab/>
        <w:t>وقالت اللجنة إنها تشعر بقلق بالغ إزاء عدم كفاية فرص حصول الأطفال من الأسر المنخفضة الدخل على التعليم، ولا سيما في المناطق الداخلية، وانخفاض سن الانتهاء من التعليم الإلزامي، والحواجز</w:t>
      </w:r>
      <w:r w:rsidR="003949EA" w:rsidRPr="00696A30">
        <w:rPr>
          <w:rFonts w:eastAsiaTheme="minorEastAsia" w:hint="cs"/>
          <w:rtl/>
        </w:rPr>
        <w:t> </w:t>
      </w:r>
      <w:r w:rsidRPr="00696A30">
        <w:rPr>
          <w:rFonts w:eastAsiaTheme="minorEastAsia"/>
          <w:rtl/>
        </w:rPr>
        <w:t xml:space="preserve">التي تحول دون الحصول على التعليم، بما في ذلك ارتفاع رسوم المستلزمات المدرسية، والفجوات بين الأسر فيما يتعلق بالتعليم في مرحلة الطفولة </w:t>
      </w:r>
      <w:proofErr w:type="gramStart"/>
      <w:r w:rsidRPr="00696A30">
        <w:rPr>
          <w:rFonts w:eastAsiaTheme="minorEastAsia"/>
          <w:rtl/>
        </w:rPr>
        <w:t>المبكرة</w:t>
      </w:r>
      <w:r w:rsidRPr="00696A30">
        <w:rPr>
          <w:rFonts w:eastAsiaTheme="minorEastAsia"/>
          <w:vertAlign w:val="superscript"/>
          <w:rtl/>
        </w:rPr>
        <w:t>(</w:t>
      </w:r>
      <w:proofErr w:type="gramEnd"/>
      <w:r w:rsidRPr="00E841A5">
        <w:rPr>
          <w:rStyle w:val="EndnoteReference"/>
          <w:rFonts w:eastAsiaTheme="minorEastAsia"/>
          <w:lang w:val="en-US"/>
        </w:rPr>
        <w:endnoteReference w:id="85"/>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6E9D153C" w14:textId="2116CD9D" w:rsidR="00056D32" w:rsidRPr="00696A30" w:rsidRDefault="00056D32" w:rsidP="00AD545D">
      <w:pPr>
        <w:pStyle w:val="SingleTxtGA"/>
        <w:spacing w:line="350" w:lineRule="exact"/>
        <w:rPr>
          <w:rFonts w:eastAsiaTheme="minorEastAsia"/>
          <w:szCs w:val="20"/>
          <w:lang w:val="en-US" w:eastAsia="zh-TW" w:bidi="en-GB"/>
        </w:rPr>
      </w:pPr>
      <w:r w:rsidRPr="00E841A5">
        <w:rPr>
          <w:rFonts w:eastAsiaTheme="minorEastAsia"/>
          <w:szCs w:val="20"/>
          <w:rtl/>
        </w:rPr>
        <w:t>73</w:t>
      </w:r>
      <w:r w:rsidRPr="00696A30">
        <w:rPr>
          <w:rFonts w:eastAsiaTheme="minorEastAsia"/>
          <w:szCs w:val="20"/>
          <w:rtl/>
        </w:rPr>
        <w:t>-</w:t>
      </w:r>
      <w:r w:rsidRPr="00696A30">
        <w:rPr>
          <w:rFonts w:eastAsiaTheme="minorEastAsia"/>
          <w:rtl/>
        </w:rPr>
        <w:tab/>
      </w:r>
      <w:r w:rsidRPr="00AD545D">
        <w:rPr>
          <w:rFonts w:eastAsiaTheme="minorEastAsia"/>
          <w:spacing w:val="-2"/>
          <w:rtl/>
        </w:rPr>
        <w:t>ولا تزال اللجنة المعنية بالقضاء على التمييز ضد المرأة‏‏ تشعر بالقلق إزاء محدودية فرص حصول</w:t>
      </w:r>
      <w:r w:rsidRPr="00696A30">
        <w:rPr>
          <w:rFonts w:eastAsiaTheme="minorEastAsia"/>
          <w:rtl/>
        </w:rPr>
        <w:t xml:space="preserve"> الفتيات من الفئات المحرومة، بما في ذلك الفتيات ذوات الإعاقة على التعليم، والتفاوت الكبير في معدلات </w:t>
      </w:r>
      <w:r w:rsidRPr="00AD545D">
        <w:rPr>
          <w:rFonts w:eastAsiaTheme="minorEastAsia"/>
          <w:spacing w:val="-2"/>
          <w:rtl/>
        </w:rPr>
        <w:t>الالتحاق بالمدارس بين المناطق الريفية والمناطق الحضرية، فضل</w:t>
      </w:r>
      <w:r w:rsidR="004B1A4F" w:rsidRPr="00AD545D">
        <w:rPr>
          <w:rFonts w:eastAsiaTheme="minorEastAsia"/>
          <w:spacing w:val="-2"/>
          <w:rtl/>
        </w:rPr>
        <w:t xml:space="preserve">اً </w:t>
      </w:r>
      <w:r w:rsidRPr="00AD545D">
        <w:rPr>
          <w:rFonts w:eastAsiaTheme="minorEastAsia"/>
          <w:spacing w:val="-2"/>
          <w:rtl/>
        </w:rPr>
        <w:t>عن رداءة نوعية المدارس الابتدائية وعدم</w:t>
      </w:r>
      <w:r w:rsidRPr="00696A30">
        <w:rPr>
          <w:rFonts w:eastAsiaTheme="minorEastAsia"/>
          <w:rtl/>
        </w:rPr>
        <w:t xml:space="preserve"> وجود مدارس ثانوية في المناطق الريفية</w:t>
      </w:r>
      <w:r w:rsidRPr="00696A30">
        <w:rPr>
          <w:rStyle w:val="EndnoteReference"/>
          <w:rFonts w:eastAsiaTheme="minorEastAsia"/>
          <w:rtl/>
        </w:rPr>
        <w:t>(</w:t>
      </w:r>
      <w:r w:rsidRPr="00E841A5">
        <w:rPr>
          <w:rStyle w:val="EndnoteReference"/>
          <w:rFonts w:eastAsiaTheme="minorEastAsia"/>
          <w:lang w:val="en-US"/>
        </w:rPr>
        <w:endnoteReference w:id="86"/>
      </w:r>
      <w:r w:rsidRPr="00696A30">
        <w:rPr>
          <w:rStyle w:val="EndnoteReference"/>
          <w:rFonts w:eastAsiaTheme="minorEastAsia"/>
          <w:rtl/>
        </w:rPr>
        <w:t>)</w:t>
      </w:r>
      <w:r w:rsidRPr="00696A30">
        <w:rPr>
          <w:rFonts w:eastAsiaTheme="minorEastAsia"/>
          <w:rtl/>
        </w:rPr>
        <w:t>.</w:t>
      </w:r>
    </w:p>
    <w:p w14:paraId="1B448035" w14:textId="61E1B05D"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74</w:t>
      </w:r>
      <w:r w:rsidRPr="00696A30">
        <w:rPr>
          <w:rFonts w:eastAsiaTheme="minorEastAsia"/>
          <w:szCs w:val="20"/>
          <w:rtl/>
        </w:rPr>
        <w:t>-</w:t>
      </w:r>
      <w:r w:rsidRPr="00696A30">
        <w:rPr>
          <w:rFonts w:eastAsiaTheme="minorEastAsia"/>
          <w:rtl/>
        </w:rPr>
        <w:tab/>
        <w:t>وأعربت لجنة حقوق الطفل عن قلقها البالغ إزاء العدد الكبير من الطلاب الذين تسربوا من المدارس، ولا سيما الفتيات في المناطق الداخلية والفتيان على الصعيد الوطني، وإزاء ارتفاع عدد الطلاب</w:t>
      </w:r>
      <w:r w:rsidR="007532BE" w:rsidRPr="00696A30">
        <w:rPr>
          <w:rFonts w:eastAsiaTheme="minorEastAsia" w:hint="cs"/>
          <w:rtl/>
        </w:rPr>
        <w:t> </w:t>
      </w:r>
      <w:proofErr w:type="gramStart"/>
      <w:r w:rsidRPr="00696A30">
        <w:rPr>
          <w:rFonts w:eastAsiaTheme="minorEastAsia"/>
          <w:rtl/>
        </w:rPr>
        <w:t>الراسبين</w:t>
      </w:r>
      <w:r w:rsidRPr="00696A30">
        <w:rPr>
          <w:rFonts w:eastAsiaTheme="minorEastAsia"/>
          <w:vertAlign w:val="superscript"/>
          <w:rtl/>
        </w:rPr>
        <w:t>(</w:t>
      </w:r>
      <w:proofErr w:type="gramEnd"/>
      <w:r w:rsidRPr="00E841A5">
        <w:rPr>
          <w:rStyle w:val="EndnoteReference"/>
          <w:rFonts w:eastAsiaTheme="minorEastAsia"/>
          <w:lang w:val="en-US"/>
        </w:rPr>
        <w:endnoteReference w:id="87"/>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2DF729D4" w14:textId="115186C9"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75</w:t>
      </w:r>
      <w:r w:rsidRPr="00696A30">
        <w:rPr>
          <w:rFonts w:eastAsiaTheme="minorEastAsia"/>
          <w:szCs w:val="20"/>
          <w:rtl/>
        </w:rPr>
        <w:t>-</w:t>
      </w:r>
      <w:r w:rsidRPr="00696A30">
        <w:rPr>
          <w:rFonts w:eastAsiaTheme="minorEastAsia"/>
          <w:rtl/>
        </w:rPr>
        <w:tab/>
      </w:r>
      <w:r w:rsidRPr="00AD545D">
        <w:rPr>
          <w:rFonts w:eastAsiaTheme="minorEastAsia"/>
          <w:spacing w:val="-4"/>
          <w:rtl/>
        </w:rPr>
        <w:t xml:space="preserve">وذكر فريق الأمم المتحدة القطري أن الأطفال ذوي الإعاقة </w:t>
      </w:r>
      <w:proofErr w:type="spellStart"/>
      <w:r w:rsidRPr="00AD545D">
        <w:rPr>
          <w:rFonts w:eastAsiaTheme="minorEastAsia"/>
          <w:spacing w:val="-4"/>
          <w:rtl/>
        </w:rPr>
        <w:t>يبدأون</w:t>
      </w:r>
      <w:proofErr w:type="spellEnd"/>
      <w:r w:rsidRPr="00AD545D">
        <w:rPr>
          <w:rFonts w:eastAsiaTheme="minorEastAsia"/>
          <w:spacing w:val="-4"/>
          <w:rtl/>
        </w:rPr>
        <w:t xml:space="preserve"> الدراسة في سن أكبر من غيرهم،</w:t>
      </w:r>
      <w:r w:rsidRPr="00696A30">
        <w:rPr>
          <w:rFonts w:eastAsiaTheme="minorEastAsia"/>
          <w:rtl/>
        </w:rPr>
        <w:t xml:space="preserve"> ويواجهون صعوبات في الحصول على التعليم العالي، ويسجلون معدلات تسرب </w:t>
      </w:r>
      <w:proofErr w:type="gramStart"/>
      <w:r w:rsidRPr="00696A30">
        <w:rPr>
          <w:rFonts w:eastAsiaTheme="minorEastAsia"/>
          <w:rtl/>
        </w:rPr>
        <w:t>أعلى</w:t>
      </w:r>
      <w:r w:rsidRPr="00696A30">
        <w:rPr>
          <w:rFonts w:eastAsiaTheme="minorEastAsia"/>
          <w:vertAlign w:val="superscript"/>
          <w:rtl/>
        </w:rPr>
        <w:t>(</w:t>
      </w:r>
      <w:proofErr w:type="gramEnd"/>
      <w:r w:rsidRPr="00E841A5">
        <w:rPr>
          <w:rStyle w:val="EndnoteReference"/>
          <w:rFonts w:eastAsiaTheme="minorEastAsia"/>
          <w:lang w:val="en-US"/>
        </w:rPr>
        <w:endnoteReference w:id="88"/>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7E0C62CF" w14:textId="1F92074F"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76</w:t>
      </w:r>
      <w:r w:rsidRPr="00696A30">
        <w:rPr>
          <w:rFonts w:eastAsiaTheme="minorEastAsia"/>
          <w:szCs w:val="20"/>
          <w:rtl/>
        </w:rPr>
        <w:t>-</w:t>
      </w:r>
      <w:r w:rsidRPr="00696A30">
        <w:rPr>
          <w:rFonts w:eastAsiaTheme="minorEastAsia"/>
          <w:rtl/>
        </w:rPr>
        <w:tab/>
      </w:r>
      <w:r w:rsidRPr="00AD545D">
        <w:rPr>
          <w:rFonts w:eastAsiaTheme="minorEastAsia"/>
          <w:spacing w:val="-2"/>
          <w:rtl/>
        </w:rPr>
        <w:t>ولا تزال اللجنة المعنية بالقضاء على التمييز ضد المرأة‏‏ تشعر بالقلق إزاء ارتفاع معدلات التسرب</w:t>
      </w:r>
      <w:r w:rsidRPr="00696A30">
        <w:rPr>
          <w:rFonts w:eastAsiaTheme="minorEastAsia"/>
          <w:rtl/>
        </w:rPr>
        <w:t>، ومعدلات الطرد، بسبب الحمل المبكر، وتوجه الأمهات الشابات إلى التدريب المهني بدل</w:t>
      </w:r>
      <w:r w:rsidR="004B1A4F" w:rsidRPr="00696A30">
        <w:rPr>
          <w:rFonts w:eastAsiaTheme="minorEastAsia"/>
          <w:rtl/>
        </w:rPr>
        <w:t xml:space="preserve">اً </w:t>
      </w:r>
      <w:r w:rsidRPr="00696A30">
        <w:rPr>
          <w:rFonts w:eastAsiaTheme="minorEastAsia"/>
          <w:rtl/>
        </w:rPr>
        <w:t>من العودة إلى المدرسة</w:t>
      </w:r>
      <w:r w:rsidRPr="00696A30">
        <w:rPr>
          <w:rStyle w:val="EndnoteReference"/>
          <w:rFonts w:eastAsiaTheme="minorEastAsia"/>
          <w:rtl/>
        </w:rPr>
        <w:t>(</w:t>
      </w:r>
      <w:r w:rsidRPr="00E841A5">
        <w:rPr>
          <w:rStyle w:val="EndnoteReference"/>
          <w:rFonts w:eastAsiaTheme="minorEastAsia"/>
          <w:lang w:val="en-US"/>
        </w:rPr>
        <w:endnoteReference w:id="89"/>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3C379344" w14:textId="7DECE56A"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77</w:t>
      </w:r>
      <w:r w:rsidRPr="00696A30">
        <w:rPr>
          <w:rFonts w:eastAsiaTheme="minorEastAsia"/>
          <w:szCs w:val="20"/>
          <w:rtl/>
        </w:rPr>
        <w:t>-</w:t>
      </w:r>
      <w:r w:rsidRPr="00696A30">
        <w:rPr>
          <w:rFonts w:eastAsiaTheme="minorEastAsia"/>
          <w:rtl/>
        </w:rPr>
        <w:tab/>
        <w:t xml:space="preserve">ولا تزال اللجنة نفسها تشعر بالقلق إزاء حقيقة مفادها أن التعليم الإلزامي ينتهي في الثانية عشرة من العمر، وأوصت برفعه إلى سن السادسة عشرة بالنسبة للفتيات </w:t>
      </w:r>
      <w:proofErr w:type="gramStart"/>
      <w:r w:rsidRPr="00696A30">
        <w:rPr>
          <w:rFonts w:eastAsiaTheme="minorEastAsia"/>
          <w:rtl/>
        </w:rPr>
        <w:t>والفتيان</w:t>
      </w:r>
      <w:r w:rsidRPr="00696A30">
        <w:rPr>
          <w:rFonts w:eastAsiaTheme="minorEastAsia"/>
          <w:vertAlign w:val="superscript"/>
          <w:rtl/>
        </w:rPr>
        <w:t>(</w:t>
      </w:r>
      <w:proofErr w:type="gramEnd"/>
      <w:r w:rsidRPr="00E841A5">
        <w:rPr>
          <w:rStyle w:val="EndnoteReference"/>
          <w:rFonts w:eastAsiaTheme="minorEastAsia"/>
          <w:lang w:val="en-US"/>
        </w:rPr>
        <w:endnoteReference w:id="90"/>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3B19591E" w14:textId="6D1D9C0D"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78</w:t>
      </w:r>
      <w:r w:rsidRPr="00696A30">
        <w:rPr>
          <w:rFonts w:eastAsiaTheme="minorEastAsia"/>
          <w:szCs w:val="20"/>
          <w:rtl/>
        </w:rPr>
        <w:t>-</w:t>
      </w:r>
      <w:r w:rsidRPr="00696A30">
        <w:rPr>
          <w:rFonts w:eastAsiaTheme="minorEastAsia"/>
          <w:rtl/>
        </w:rPr>
        <w:tab/>
        <w:t>ولا تزال اللجنة قلقة أيض</w:t>
      </w:r>
      <w:r w:rsidR="004B1A4F" w:rsidRPr="00696A30">
        <w:rPr>
          <w:rFonts w:eastAsiaTheme="minorEastAsia"/>
          <w:rtl/>
        </w:rPr>
        <w:t xml:space="preserve">اً </w:t>
      </w:r>
      <w:r w:rsidRPr="00696A30">
        <w:rPr>
          <w:rFonts w:eastAsiaTheme="minorEastAsia"/>
          <w:rtl/>
        </w:rPr>
        <w:t>إزاء عدم وجود تعليم ثنائي اللغة لفتيات وفتيان المارون والشعوب</w:t>
      </w:r>
      <w:r w:rsidR="007532BE" w:rsidRPr="00696A30">
        <w:rPr>
          <w:rFonts w:eastAsiaTheme="minorEastAsia" w:hint="cs"/>
          <w:rtl/>
        </w:rPr>
        <w:t> </w:t>
      </w:r>
      <w:proofErr w:type="gramStart"/>
      <w:r w:rsidRPr="00696A30">
        <w:rPr>
          <w:rFonts w:eastAsiaTheme="minorEastAsia"/>
          <w:rtl/>
        </w:rPr>
        <w:t>الأصلية</w:t>
      </w:r>
      <w:r w:rsidRPr="00696A30">
        <w:rPr>
          <w:rFonts w:eastAsiaTheme="minorEastAsia"/>
          <w:vertAlign w:val="superscript"/>
          <w:rtl/>
        </w:rPr>
        <w:t>(</w:t>
      </w:r>
      <w:proofErr w:type="gramEnd"/>
      <w:r w:rsidRPr="00E841A5">
        <w:rPr>
          <w:rStyle w:val="EndnoteReference"/>
          <w:rFonts w:eastAsiaTheme="minorEastAsia"/>
          <w:lang w:val="en-US"/>
        </w:rPr>
        <w:endnoteReference w:id="91"/>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67C9D54" w14:textId="65E47405"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lastRenderedPageBreak/>
        <w:t>79</w:t>
      </w:r>
      <w:r w:rsidRPr="00696A30">
        <w:rPr>
          <w:rFonts w:eastAsiaTheme="minorEastAsia"/>
          <w:szCs w:val="20"/>
          <w:rtl/>
        </w:rPr>
        <w:t>-</w:t>
      </w:r>
      <w:r w:rsidRPr="00696A30">
        <w:rPr>
          <w:rFonts w:eastAsiaTheme="minorEastAsia"/>
          <w:rtl/>
        </w:rPr>
        <w:tab/>
        <w:t>وحثت لجنة حقوق الطفل الدولة على مواصلة الجهود الرامية إلى تحسين فرص الحصول على التعليم، بصرف النظر عن القدرة على دفع رسوم المستلزمات المدرسية، في المرحلتين الابتدائية والثانوية، وتحسين نوعية التعليم عن طريق ضمان التمويل الكافي والمناسب في توقيته، وتوفير مرافق ملائمة، والمستلزمات التعليمية، وأدوات التعليم التي تأخذ في الاعتبار السياق الوطني والمحلي،</w:t>
      </w:r>
      <w:r w:rsidR="007532BE" w:rsidRPr="00696A30">
        <w:rPr>
          <w:rFonts w:eastAsiaTheme="minorEastAsia"/>
          <w:rtl/>
        </w:rPr>
        <w:t xml:space="preserve"> </w:t>
      </w:r>
      <w:r w:rsidRPr="00696A30">
        <w:rPr>
          <w:rFonts w:eastAsiaTheme="minorEastAsia"/>
          <w:rtl/>
        </w:rPr>
        <w:t xml:space="preserve">مع التركيز بشكل خاص على المناطق الداخلية، وتعزيز النقل الآمن، واستخدام تكنولوجيا المعلومات </w:t>
      </w:r>
      <w:proofErr w:type="gramStart"/>
      <w:r w:rsidRPr="00696A30">
        <w:rPr>
          <w:rFonts w:eastAsiaTheme="minorEastAsia"/>
          <w:rtl/>
        </w:rPr>
        <w:t>والاتصالات</w:t>
      </w:r>
      <w:r w:rsidRPr="00696A30">
        <w:rPr>
          <w:rFonts w:eastAsiaTheme="minorEastAsia"/>
          <w:vertAlign w:val="superscript"/>
          <w:rtl/>
        </w:rPr>
        <w:t>(</w:t>
      </w:r>
      <w:proofErr w:type="gramEnd"/>
      <w:r w:rsidRPr="00E841A5">
        <w:rPr>
          <w:rStyle w:val="EndnoteReference"/>
          <w:rFonts w:eastAsiaTheme="minorEastAsia"/>
          <w:lang w:val="en-US"/>
        </w:rPr>
        <w:endnoteReference w:id="92"/>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5AC79A9" w14:textId="46C6FFC8"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80</w:t>
      </w:r>
      <w:r w:rsidRPr="00696A30">
        <w:rPr>
          <w:rFonts w:eastAsiaTheme="minorEastAsia"/>
          <w:szCs w:val="20"/>
          <w:rtl/>
        </w:rPr>
        <w:t>-</w:t>
      </w:r>
      <w:r w:rsidRPr="00696A30">
        <w:rPr>
          <w:rFonts w:eastAsiaTheme="minorEastAsia"/>
          <w:rtl/>
        </w:rPr>
        <w:tab/>
        <w:t xml:space="preserve">وأوصى الفريق القطري بأن تحسن الحكومة إمكانية حصول جميع الأطفال، بمن فيهم ذوي الإعاقة، على التعليم الابتدائي </w:t>
      </w:r>
      <w:proofErr w:type="gramStart"/>
      <w:r w:rsidRPr="00696A30">
        <w:rPr>
          <w:rFonts w:eastAsiaTheme="minorEastAsia"/>
          <w:rtl/>
        </w:rPr>
        <w:t>والثانوي</w:t>
      </w:r>
      <w:r w:rsidRPr="00696A30">
        <w:rPr>
          <w:rFonts w:eastAsiaTheme="minorEastAsia"/>
          <w:vertAlign w:val="superscript"/>
          <w:rtl/>
        </w:rPr>
        <w:t>(</w:t>
      </w:r>
      <w:proofErr w:type="gramEnd"/>
      <w:r w:rsidRPr="00E841A5">
        <w:rPr>
          <w:rStyle w:val="EndnoteReference"/>
          <w:rFonts w:eastAsiaTheme="minorEastAsia"/>
          <w:color w:val="000000"/>
          <w:lang w:val="en-US" w:eastAsia="en-GB"/>
        </w:rPr>
        <w:endnoteReference w:id="93"/>
      </w:r>
      <w:r w:rsidR="000E5FB0" w:rsidRPr="00696A30">
        <w:rPr>
          <w:rStyle w:val="EndnoteReference"/>
          <w:rFonts w:eastAsiaTheme="minorEastAsia"/>
          <w:color w:val="000000"/>
          <w:rtl/>
        </w:rPr>
        <w:t>)</w:t>
      </w:r>
      <w:r w:rsidR="000E5FB0" w:rsidRPr="00696A30">
        <w:rPr>
          <w:rStyle w:val="EndnoteReference"/>
          <w:rFonts w:eastAsiaTheme="minorEastAsia"/>
          <w:color w:val="000000"/>
          <w:vertAlign w:val="baseline"/>
          <w:rtl/>
        </w:rPr>
        <w:t>.</w:t>
      </w:r>
    </w:p>
    <w:p w14:paraId="44C3E937" w14:textId="27073695"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81</w:t>
      </w:r>
      <w:r w:rsidRPr="00696A30">
        <w:rPr>
          <w:rFonts w:eastAsiaTheme="minorEastAsia"/>
          <w:szCs w:val="20"/>
          <w:rtl/>
        </w:rPr>
        <w:t>-</w:t>
      </w:r>
      <w:r w:rsidRPr="00696A30">
        <w:rPr>
          <w:rFonts w:eastAsiaTheme="minorEastAsia"/>
          <w:rtl/>
        </w:rPr>
        <w:tab/>
        <w:t>وحثت لجنة الخبراء التابعة لمنظمة العمل الدولية الحكومة على تعزيز جهودها لتحسين أداء النظام التعليمي، ولا سيما من أجل زيادة معدلات الالتحاق بالمدارس والحضور والإنجاز في المرحلة</w:t>
      </w:r>
      <w:r w:rsidR="007532BE" w:rsidRPr="00696A30">
        <w:rPr>
          <w:rFonts w:eastAsiaTheme="minorEastAsia" w:hint="cs"/>
          <w:rtl/>
        </w:rPr>
        <w:t> </w:t>
      </w:r>
      <w:proofErr w:type="gramStart"/>
      <w:r w:rsidRPr="00696A30">
        <w:rPr>
          <w:rFonts w:eastAsiaTheme="minorEastAsia"/>
          <w:rtl/>
        </w:rPr>
        <w:t>الثانوية</w:t>
      </w:r>
      <w:r w:rsidRPr="00696A30">
        <w:rPr>
          <w:rFonts w:eastAsiaTheme="minorEastAsia"/>
          <w:vertAlign w:val="superscript"/>
          <w:rtl/>
        </w:rPr>
        <w:t>(</w:t>
      </w:r>
      <w:proofErr w:type="gramEnd"/>
      <w:r w:rsidRPr="00E841A5">
        <w:rPr>
          <w:rStyle w:val="EndnoteReference"/>
          <w:rFonts w:eastAsiaTheme="minorEastAsia"/>
          <w:lang w:val="en-US"/>
        </w:rPr>
        <w:endnoteReference w:id="94"/>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2AD6ABE3" w14:textId="50E888B1" w:rsidR="00056D32" w:rsidRPr="00E841A5" w:rsidRDefault="00056D32" w:rsidP="00056D32">
      <w:pPr>
        <w:pStyle w:val="H1GA"/>
        <w:rPr>
          <w:rFonts w:eastAsiaTheme="minorEastAsia"/>
          <w:szCs w:val="20"/>
          <w:lang w:val="ar-SA" w:eastAsia="zh-TW" w:bidi="en-GB"/>
        </w:rPr>
      </w:pPr>
      <w:r w:rsidRPr="00E841A5">
        <w:rPr>
          <w:rFonts w:eastAsiaTheme="minorEastAsia"/>
          <w:rtl/>
        </w:rPr>
        <w:tab/>
        <w:t>دال-</w:t>
      </w:r>
      <w:r w:rsidRPr="00E841A5">
        <w:rPr>
          <w:rFonts w:eastAsiaTheme="minorEastAsia"/>
          <w:rtl/>
        </w:rPr>
        <w:tab/>
        <w:t>حقوق أشخاص محددين أو فئات محددة</w:t>
      </w:r>
    </w:p>
    <w:p w14:paraId="088CF331" w14:textId="5F00227E" w:rsidR="00056D32" w:rsidRPr="00E841A5" w:rsidRDefault="00056D32" w:rsidP="00056D32">
      <w:pPr>
        <w:pStyle w:val="H23GA"/>
        <w:rPr>
          <w:rFonts w:eastAsiaTheme="minorEastAsia"/>
          <w:szCs w:val="20"/>
          <w:lang w:val="en-US" w:eastAsia="zh-TW" w:bidi="en-GB"/>
        </w:rPr>
      </w:pPr>
      <w:r w:rsidRPr="00E841A5">
        <w:rPr>
          <w:rFonts w:eastAsiaTheme="minorEastAsia"/>
          <w:szCs w:val="20"/>
          <w:rtl/>
        </w:rPr>
        <w:tab/>
        <w:t>1-</w:t>
      </w:r>
      <w:r w:rsidRPr="00E841A5">
        <w:rPr>
          <w:rFonts w:eastAsiaTheme="minorEastAsia"/>
          <w:rtl/>
        </w:rPr>
        <w:tab/>
        <w:t>النساء</w:t>
      </w:r>
      <w:r w:rsidRPr="00696A30">
        <w:rPr>
          <w:rStyle w:val="EndnoteReference"/>
          <w:rFonts w:eastAsiaTheme="minorEastAsia"/>
          <w:b w:val="0"/>
          <w:bCs w:val="0"/>
          <w:rtl/>
        </w:rPr>
        <w:t>(</w:t>
      </w:r>
      <w:r w:rsidRPr="00E841A5">
        <w:rPr>
          <w:rStyle w:val="EndnoteReference"/>
          <w:rFonts w:eastAsiaTheme="minorEastAsia"/>
          <w:b w:val="0"/>
          <w:bCs w:val="0"/>
          <w:lang w:val="en-US"/>
        </w:rPr>
        <w:endnoteReference w:id="95"/>
      </w:r>
      <w:r w:rsidRPr="00696A30">
        <w:rPr>
          <w:rStyle w:val="EndnoteReference"/>
          <w:rFonts w:eastAsiaTheme="minorEastAsia"/>
          <w:b w:val="0"/>
          <w:bCs w:val="0"/>
          <w:rtl/>
        </w:rPr>
        <w:t>)</w:t>
      </w:r>
    </w:p>
    <w:p w14:paraId="225A5C78" w14:textId="190A3FF3"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82</w:t>
      </w:r>
      <w:r w:rsidRPr="00696A30">
        <w:rPr>
          <w:rFonts w:eastAsiaTheme="minorEastAsia"/>
          <w:szCs w:val="20"/>
          <w:rtl/>
        </w:rPr>
        <w:t>-</w:t>
      </w:r>
      <w:r w:rsidRPr="00696A30">
        <w:rPr>
          <w:rFonts w:eastAsiaTheme="minorEastAsia"/>
          <w:rtl/>
        </w:rPr>
        <w:tab/>
        <w:t xml:space="preserve">ذكر فريق الأمم المتحدة القطري أن العنف العائلي مشكلة متفشية. وقد اعتمدت الحكومة قوانين توفر حماية محددة من العنف ضد النساء والفتيات، لكن تنفيذها تعثر بسبب نقص التدريب والأدوات العملياتية اللازمة لضمان التسجيل والتتبع السليمين للقضايا، والافتقار إلى الخدمات الاجتماعية لدعم الناجيات، وعدم كفاءة وعدم فعالية نظم العدالة الجنائية لمحاسبة </w:t>
      </w:r>
      <w:proofErr w:type="gramStart"/>
      <w:r w:rsidRPr="00696A30">
        <w:rPr>
          <w:rFonts w:eastAsiaTheme="minorEastAsia"/>
          <w:rtl/>
        </w:rPr>
        <w:t>الجناة</w:t>
      </w:r>
      <w:r w:rsidRPr="00696A30">
        <w:rPr>
          <w:rFonts w:eastAsiaTheme="minorEastAsia"/>
          <w:vertAlign w:val="superscript"/>
          <w:rtl/>
        </w:rPr>
        <w:t>(</w:t>
      </w:r>
      <w:proofErr w:type="gramEnd"/>
      <w:r w:rsidRPr="00E841A5">
        <w:rPr>
          <w:rStyle w:val="EndnoteReference"/>
          <w:rFonts w:eastAsiaTheme="minorEastAsia"/>
          <w:lang w:val="en-US"/>
        </w:rPr>
        <w:endnoteReference w:id="96"/>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7F9A2DDF" w14:textId="03CBFC09"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83</w:t>
      </w:r>
      <w:r w:rsidRPr="00696A30">
        <w:rPr>
          <w:rFonts w:eastAsiaTheme="minorEastAsia"/>
          <w:szCs w:val="20"/>
          <w:rtl/>
        </w:rPr>
        <w:t>-</w:t>
      </w:r>
      <w:r w:rsidRPr="00696A30">
        <w:rPr>
          <w:rFonts w:eastAsiaTheme="minorEastAsia"/>
          <w:rtl/>
        </w:rPr>
        <w:tab/>
        <w:t xml:space="preserve">وأوصت اللجنة المعنية بالقضاء على التمييز ضد المرأة بأن تنشئ الدولة، دون إبطاء، آلية سرية تتيح للنساء ضحايا التمييز والعنف الجنساني تقديم </w:t>
      </w:r>
      <w:proofErr w:type="gramStart"/>
      <w:r w:rsidRPr="00696A30">
        <w:rPr>
          <w:rFonts w:eastAsiaTheme="minorEastAsia"/>
          <w:rtl/>
        </w:rPr>
        <w:t>الشكاوى</w:t>
      </w:r>
      <w:r w:rsidRPr="00696A30">
        <w:rPr>
          <w:rFonts w:eastAsiaTheme="minorEastAsia"/>
          <w:vertAlign w:val="superscript"/>
          <w:rtl/>
        </w:rPr>
        <w:t>(</w:t>
      </w:r>
      <w:proofErr w:type="gramEnd"/>
      <w:r w:rsidRPr="00E841A5">
        <w:rPr>
          <w:rStyle w:val="EndnoteReference"/>
          <w:rFonts w:eastAsiaTheme="minorEastAsia"/>
          <w:lang w:val="en-US"/>
        </w:rPr>
        <w:endnoteReference w:id="97"/>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8DED2C0" w14:textId="0F864EDB"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84</w:t>
      </w:r>
      <w:r w:rsidRPr="00696A30">
        <w:rPr>
          <w:rFonts w:eastAsiaTheme="minorEastAsia"/>
          <w:szCs w:val="20"/>
          <w:rtl/>
        </w:rPr>
        <w:t>-</w:t>
      </w:r>
      <w:r w:rsidRPr="00696A30">
        <w:rPr>
          <w:rFonts w:eastAsiaTheme="minorEastAsia"/>
          <w:rtl/>
        </w:rPr>
        <w:tab/>
        <w:t>وأوصت اللجنة نفسها أيض</w:t>
      </w:r>
      <w:r w:rsidR="004B1A4F" w:rsidRPr="00696A30">
        <w:rPr>
          <w:rFonts w:eastAsiaTheme="minorEastAsia"/>
          <w:rtl/>
        </w:rPr>
        <w:t xml:space="preserve">اً </w:t>
      </w:r>
      <w:r w:rsidRPr="00696A30">
        <w:rPr>
          <w:rFonts w:eastAsiaTheme="minorEastAsia"/>
          <w:rtl/>
        </w:rPr>
        <w:t>بأن تنشئ الدولة ملاجئ إضافية لضحايا العنف الجنساني</w:t>
      </w:r>
      <w:r w:rsidR="007532BE" w:rsidRPr="00696A30">
        <w:rPr>
          <w:rFonts w:eastAsiaTheme="minorEastAsia"/>
          <w:rtl/>
        </w:rPr>
        <w:t xml:space="preserve"> </w:t>
      </w:r>
      <w:r w:rsidRPr="00696A30">
        <w:rPr>
          <w:rFonts w:eastAsiaTheme="minorEastAsia"/>
          <w:rtl/>
        </w:rPr>
        <w:t xml:space="preserve">يمكن لجميع النساء والفتيات الوصول إليها، ولا سيما اللاتي يعشن في المناطق الريفية، وأن تكفل تقديم المساعدة القانونية وإعادة التأهيل والدعم النفسي الاجتماعي للضحايا </w:t>
      </w:r>
      <w:proofErr w:type="gramStart"/>
      <w:r w:rsidRPr="00696A30">
        <w:rPr>
          <w:rFonts w:eastAsiaTheme="minorEastAsia"/>
          <w:rtl/>
        </w:rPr>
        <w:t>هناك</w:t>
      </w:r>
      <w:r w:rsidRPr="00696A30">
        <w:rPr>
          <w:rFonts w:eastAsiaTheme="minorEastAsia"/>
          <w:vertAlign w:val="superscript"/>
          <w:rtl/>
        </w:rPr>
        <w:t>(</w:t>
      </w:r>
      <w:proofErr w:type="gramEnd"/>
      <w:r w:rsidRPr="00E841A5">
        <w:rPr>
          <w:rStyle w:val="EndnoteReference"/>
          <w:rFonts w:eastAsiaTheme="minorEastAsia"/>
          <w:lang w:val="en-US"/>
        </w:rPr>
        <w:endnoteReference w:id="98"/>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7747EAA3" w14:textId="48C8BE23"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85</w:t>
      </w:r>
      <w:r w:rsidRPr="00696A30">
        <w:rPr>
          <w:rFonts w:eastAsiaTheme="minorEastAsia"/>
          <w:szCs w:val="20"/>
          <w:rtl/>
        </w:rPr>
        <w:t>-</w:t>
      </w:r>
      <w:r w:rsidRPr="00696A30">
        <w:rPr>
          <w:rFonts w:eastAsiaTheme="minorEastAsia"/>
          <w:rtl/>
        </w:rPr>
        <w:tab/>
        <w:t>وأوصى الفريق القطري بأن تواصل الحكومة دعم وتعزيز قدرات الموظفين الذين يحتكون بالأشخاص الضعفاء على تنفيذ الإحالات و/أو تقديم الخدمات المتاحة. وأوصى أيض</w:t>
      </w:r>
      <w:r w:rsidR="004B1A4F" w:rsidRPr="00696A30">
        <w:rPr>
          <w:rFonts w:eastAsiaTheme="minorEastAsia"/>
          <w:rtl/>
        </w:rPr>
        <w:t xml:space="preserve">اً </w:t>
      </w:r>
      <w:r w:rsidRPr="00696A30">
        <w:rPr>
          <w:rFonts w:eastAsiaTheme="minorEastAsia"/>
          <w:rtl/>
        </w:rPr>
        <w:t xml:space="preserve">الحكومة بتعزيز الجهود الرامية إلى تحسين جمع البيانات عن العنف </w:t>
      </w:r>
      <w:proofErr w:type="gramStart"/>
      <w:r w:rsidRPr="00696A30">
        <w:rPr>
          <w:rFonts w:eastAsiaTheme="minorEastAsia"/>
          <w:rtl/>
        </w:rPr>
        <w:t>الجنساني</w:t>
      </w:r>
      <w:r w:rsidRPr="00696A30">
        <w:rPr>
          <w:rFonts w:eastAsiaTheme="minorEastAsia"/>
          <w:vertAlign w:val="superscript"/>
          <w:rtl/>
        </w:rPr>
        <w:t>(</w:t>
      </w:r>
      <w:proofErr w:type="gramEnd"/>
      <w:r w:rsidRPr="00E841A5">
        <w:rPr>
          <w:rStyle w:val="EndnoteReference"/>
          <w:rFonts w:eastAsiaTheme="minorEastAsia"/>
          <w:lang w:val="en-US"/>
        </w:rPr>
        <w:endnoteReference w:id="99"/>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1D0155B8" w14:textId="593B192B"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86</w:t>
      </w:r>
      <w:r w:rsidRPr="00696A30">
        <w:rPr>
          <w:rFonts w:eastAsiaTheme="minorEastAsia"/>
          <w:szCs w:val="20"/>
          <w:rtl/>
        </w:rPr>
        <w:t>-</w:t>
      </w:r>
      <w:r w:rsidRPr="00696A30">
        <w:rPr>
          <w:rFonts w:eastAsiaTheme="minorEastAsia"/>
          <w:rtl/>
        </w:rPr>
        <w:tab/>
        <w:t xml:space="preserve">وكررت اللجنة المعنية بالقضاء على التمييز ضد المرأة شواغلها السابقة إزاء استدامة القوالب النمطية التمييزية المتعلقة بأدوار ومسؤوليات النساء والرجال في الأسرة </w:t>
      </w:r>
      <w:proofErr w:type="gramStart"/>
      <w:r w:rsidRPr="00696A30">
        <w:rPr>
          <w:rFonts w:eastAsiaTheme="minorEastAsia"/>
          <w:rtl/>
        </w:rPr>
        <w:t>والمجتمع</w:t>
      </w:r>
      <w:r w:rsidRPr="00696A30">
        <w:rPr>
          <w:rFonts w:eastAsiaTheme="minorEastAsia"/>
          <w:vertAlign w:val="superscript"/>
          <w:rtl/>
        </w:rPr>
        <w:t>(</w:t>
      </w:r>
      <w:proofErr w:type="gramEnd"/>
      <w:r w:rsidRPr="00E841A5">
        <w:rPr>
          <w:rStyle w:val="EndnoteReference"/>
          <w:rFonts w:eastAsiaTheme="minorEastAsia"/>
          <w:lang w:val="en-US"/>
        </w:rPr>
        <w:endnoteReference w:id="100"/>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74239E7" w14:textId="25E7C300"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87</w:t>
      </w:r>
      <w:r w:rsidRPr="00696A30">
        <w:rPr>
          <w:rFonts w:eastAsiaTheme="minorEastAsia"/>
          <w:szCs w:val="20"/>
          <w:rtl/>
        </w:rPr>
        <w:t>-</w:t>
      </w:r>
      <w:r w:rsidRPr="00696A30">
        <w:rPr>
          <w:rFonts w:eastAsiaTheme="minorEastAsia"/>
          <w:rtl/>
        </w:rPr>
        <w:tab/>
        <w:t xml:space="preserve">وأعربت اللجنة نفسها عن قلقها إزاء الحد الأدنى لسن الزواج، وهو </w:t>
      </w:r>
      <w:r w:rsidRPr="00E841A5">
        <w:rPr>
          <w:rFonts w:eastAsiaTheme="minorEastAsia"/>
          <w:szCs w:val="20"/>
          <w:rtl/>
        </w:rPr>
        <w:t>15</w:t>
      </w:r>
      <w:r w:rsidRPr="00696A30">
        <w:rPr>
          <w:rFonts w:eastAsiaTheme="minorEastAsia"/>
          <w:rtl/>
        </w:rPr>
        <w:t xml:space="preserve"> سنة بالنسبة للفتيات، والعدد المرتفع بشكل غير متناسب من النساء الريفيات، ونساء المارون ونساء الشعوب الأصلية المتزوجات وهن بين الخامسة عشرة والسابعة عشرة، وإزاء عدم وجود استراتيجية وطنية لمكافحة زواج الأطفال </w:t>
      </w:r>
      <w:proofErr w:type="gramStart"/>
      <w:r w:rsidRPr="00696A30">
        <w:rPr>
          <w:rFonts w:eastAsiaTheme="minorEastAsia"/>
          <w:rtl/>
        </w:rPr>
        <w:t>ومنعه</w:t>
      </w:r>
      <w:r w:rsidRPr="00696A30">
        <w:rPr>
          <w:rFonts w:eastAsiaTheme="minorEastAsia"/>
          <w:vertAlign w:val="superscript"/>
          <w:rtl/>
        </w:rPr>
        <w:t>(</w:t>
      </w:r>
      <w:proofErr w:type="gramEnd"/>
      <w:r w:rsidRPr="00E841A5">
        <w:rPr>
          <w:rStyle w:val="EndnoteReference"/>
          <w:rFonts w:eastAsiaTheme="minorEastAsia"/>
          <w:lang w:val="en-US"/>
        </w:rPr>
        <w:endnoteReference w:id="101"/>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22B42664" w14:textId="2DAB95B1"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88</w:t>
      </w:r>
      <w:r w:rsidRPr="00696A30">
        <w:rPr>
          <w:rFonts w:eastAsiaTheme="minorEastAsia"/>
          <w:szCs w:val="20"/>
          <w:rtl/>
        </w:rPr>
        <w:t>-</w:t>
      </w:r>
      <w:r w:rsidRPr="00696A30">
        <w:rPr>
          <w:rFonts w:eastAsiaTheme="minorEastAsia"/>
          <w:rtl/>
        </w:rPr>
        <w:tab/>
        <w:t>وحثت لجنة حقوق الطفل الدولة على اعتماد مشروع تعديل قانون الزواج، الذي يحدد السن الأدنى للزواج ب</w:t>
      </w:r>
      <w:r w:rsidR="00EF00F7" w:rsidRPr="00696A30">
        <w:rPr>
          <w:rFonts w:eastAsiaTheme="minorEastAsia" w:hint="cs"/>
          <w:rtl/>
        </w:rPr>
        <w:t>ـ</w:t>
      </w:r>
      <w:r w:rsidRPr="00696A30">
        <w:rPr>
          <w:rFonts w:eastAsiaTheme="minorEastAsia"/>
          <w:rtl/>
        </w:rPr>
        <w:t xml:space="preserve"> </w:t>
      </w:r>
      <w:r w:rsidRPr="00E841A5">
        <w:rPr>
          <w:rFonts w:eastAsiaTheme="minorEastAsia"/>
          <w:szCs w:val="20"/>
          <w:rtl/>
        </w:rPr>
        <w:t>18</w:t>
      </w:r>
      <w:r w:rsidRPr="00696A30">
        <w:rPr>
          <w:rFonts w:eastAsiaTheme="minorEastAsia"/>
          <w:rtl/>
        </w:rPr>
        <w:t xml:space="preserve"> سنة لكل من البنات </w:t>
      </w:r>
      <w:proofErr w:type="gramStart"/>
      <w:r w:rsidRPr="00696A30">
        <w:rPr>
          <w:rFonts w:eastAsiaTheme="minorEastAsia"/>
          <w:rtl/>
        </w:rPr>
        <w:t>والفتيان</w:t>
      </w:r>
      <w:r w:rsidRPr="00696A30">
        <w:rPr>
          <w:rFonts w:eastAsiaTheme="minorEastAsia"/>
          <w:vertAlign w:val="superscript"/>
          <w:rtl/>
        </w:rPr>
        <w:t>(</w:t>
      </w:r>
      <w:proofErr w:type="gramEnd"/>
      <w:r w:rsidRPr="00E841A5">
        <w:rPr>
          <w:rStyle w:val="EndnoteReference"/>
          <w:rFonts w:eastAsiaTheme="minorEastAsia"/>
          <w:lang w:val="en-US"/>
        </w:rPr>
        <w:endnoteReference w:id="102"/>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74318B23" w14:textId="21ED05FF" w:rsidR="00056D32" w:rsidRPr="00696A30" w:rsidRDefault="00056D32" w:rsidP="00AD545D">
      <w:pPr>
        <w:pStyle w:val="SingleTxtGA"/>
        <w:spacing w:line="350" w:lineRule="exact"/>
        <w:rPr>
          <w:rFonts w:eastAsiaTheme="minorEastAsia"/>
          <w:szCs w:val="20"/>
          <w:lang w:val="ar-SA" w:eastAsia="zh-TW" w:bidi="en-GB"/>
        </w:rPr>
      </w:pPr>
      <w:r w:rsidRPr="00E841A5">
        <w:rPr>
          <w:rFonts w:eastAsiaTheme="minorEastAsia"/>
          <w:szCs w:val="20"/>
          <w:rtl/>
        </w:rPr>
        <w:t>89</w:t>
      </w:r>
      <w:r w:rsidRPr="00696A30">
        <w:rPr>
          <w:rFonts w:eastAsiaTheme="minorEastAsia"/>
          <w:szCs w:val="20"/>
          <w:rtl/>
        </w:rPr>
        <w:t>-</w:t>
      </w:r>
      <w:r w:rsidRPr="00696A30">
        <w:rPr>
          <w:rFonts w:eastAsiaTheme="minorEastAsia"/>
          <w:rtl/>
        </w:rPr>
        <w:tab/>
        <w:t>وكررت اللجنة المعنية بالقضاء على التمييز ضد المرأة‏‏ الإعراب عن قلقها السابق إزاء النقص الكبير في تمثيل المرأة في الحياة السياسية والعامة، ولا سيما في مناصب صنع القرار، بما في ذلك في الجمعية الوطنية ومجلس الوزراء</w:t>
      </w:r>
      <w:r w:rsidRPr="00696A30">
        <w:rPr>
          <w:rStyle w:val="EndnoteReference"/>
          <w:rFonts w:eastAsiaTheme="minorEastAsia"/>
          <w:rtl/>
        </w:rPr>
        <w:t>(</w:t>
      </w:r>
      <w:r w:rsidRPr="00E841A5">
        <w:rPr>
          <w:rStyle w:val="EndnoteReference"/>
          <w:rFonts w:eastAsiaTheme="minorEastAsia"/>
          <w:lang w:val="en-US"/>
        </w:rPr>
        <w:endnoteReference w:id="103"/>
      </w:r>
      <w:r w:rsidRPr="00696A30">
        <w:rPr>
          <w:rStyle w:val="EndnoteReference"/>
          <w:rFonts w:eastAsiaTheme="minorEastAsia"/>
          <w:rtl/>
        </w:rPr>
        <w:t>)</w:t>
      </w:r>
      <w:r w:rsidRPr="00696A30">
        <w:rPr>
          <w:rFonts w:eastAsiaTheme="minorEastAsia"/>
          <w:rtl/>
        </w:rPr>
        <w:t>.</w:t>
      </w:r>
    </w:p>
    <w:p w14:paraId="2BB3C27D" w14:textId="09EC8F5B" w:rsidR="00056D32" w:rsidRPr="00E841A5" w:rsidRDefault="00056D32" w:rsidP="00056D32">
      <w:pPr>
        <w:pStyle w:val="H23GA"/>
        <w:rPr>
          <w:rFonts w:eastAsiaTheme="minorEastAsia"/>
          <w:szCs w:val="20"/>
          <w:lang w:val="en-US" w:eastAsia="zh-TW" w:bidi="en-GB"/>
        </w:rPr>
      </w:pPr>
      <w:r w:rsidRPr="00E841A5">
        <w:rPr>
          <w:rFonts w:eastAsiaTheme="minorEastAsia"/>
          <w:szCs w:val="20"/>
          <w:rtl/>
        </w:rPr>
        <w:lastRenderedPageBreak/>
        <w:tab/>
        <w:t>2-</w:t>
      </w:r>
      <w:r w:rsidRPr="00E841A5">
        <w:rPr>
          <w:rFonts w:eastAsiaTheme="minorEastAsia"/>
          <w:rtl/>
        </w:rPr>
        <w:tab/>
        <w:t>الأطفال</w:t>
      </w:r>
      <w:r w:rsidRPr="00696A30">
        <w:rPr>
          <w:rFonts w:eastAsiaTheme="minorEastAsia" w:cs="Times New Roman" w:hint="cs"/>
          <w:b w:val="0"/>
          <w:bCs w:val="0"/>
          <w:rtl/>
        </w:rPr>
        <w:t>‬</w:t>
      </w:r>
      <w:r w:rsidRPr="00696A30">
        <w:rPr>
          <w:rStyle w:val="EndnoteReference"/>
          <w:rFonts w:eastAsiaTheme="minorEastAsia"/>
          <w:b w:val="0"/>
          <w:bCs w:val="0"/>
          <w:rtl/>
        </w:rPr>
        <w:t>(</w:t>
      </w:r>
      <w:r w:rsidRPr="00E841A5">
        <w:rPr>
          <w:rStyle w:val="EndnoteReference"/>
          <w:rFonts w:eastAsiaTheme="minorEastAsia"/>
          <w:b w:val="0"/>
          <w:bCs w:val="0"/>
          <w:lang w:val="en-US"/>
        </w:rPr>
        <w:endnoteReference w:id="104"/>
      </w:r>
      <w:r w:rsidRPr="00696A30">
        <w:rPr>
          <w:rStyle w:val="EndnoteReference"/>
          <w:rFonts w:eastAsiaTheme="minorEastAsia"/>
          <w:b w:val="0"/>
          <w:bCs w:val="0"/>
          <w:rtl/>
        </w:rPr>
        <w:t>)</w:t>
      </w:r>
    </w:p>
    <w:p w14:paraId="2A390A28" w14:textId="41315A49" w:rsidR="00056D32" w:rsidRPr="00696A30" w:rsidRDefault="00056D32" w:rsidP="00AD545D">
      <w:pPr>
        <w:pStyle w:val="SingleTxtGA"/>
        <w:spacing w:line="346" w:lineRule="exact"/>
        <w:rPr>
          <w:rFonts w:eastAsiaTheme="minorEastAsia"/>
          <w:szCs w:val="20"/>
          <w:lang w:val="ar-SA" w:eastAsia="zh-TW" w:bidi="en-GB"/>
        </w:rPr>
      </w:pPr>
      <w:r w:rsidRPr="00E841A5">
        <w:rPr>
          <w:rFonts w:eastAsiaTheme="minorEastAsia"/>
          <w:szCs w:val="20"/>
          <w:rtl/>
        </w:rPr>
        <w:t>90</w:t>
      </w:r>
      <w:r w:rsidRPr="00696A30">
        <w:rPr>
          <w:rFonts w:eastAsiaTheme="minorEastAsia"/>
          <w:szCs w:val="20"/>
          <w:rtl/>
        </w:rPr>
        <w:t>-</w:t>
      </w:r>
      <w:r w:rsidRPr="00696A30">
        <w:rPr>
          <w:rFonts w:eastAsiaTheme="minorEastAsia"/>
          <w:rtl/>
        </w:rPr>
        <w:tab/>
        <w:t>لاحظت لجنة حقوق الطفل تزايد عدد الأطفال الذين يتعرضون للإيذاء والإهمال. وكررت توصيتها بأن تتخذ الدولة جميع التدابير المناسبة لضمان أن يكون الإبلاغ عن إساءة معاملة الأطفال وإهمالهم إلزامي</w:t>
      </w:r>
      <w:r w:rsidR="004B1A4F" w:rsidRPr="00696A30">
        <w:rPr>
          <w:rFonts w:eastAsiaTheme="minorEastAsia"/>
          <w:rtl/>
        </w:rPr>
        <w:t xml:space="preserve">اً </w:t>
      </w:r>
      <w:r w:rsidRPr="00696A30">
        <w:rPr>
          <w:rFonts w:eastAsiaTheme="minorEastAsia"/>
          <w:rtl/>
        </w:rPr>
        <w:t>لجميع الأشخاص العاملين مع الأطفال ومن أجلهم. وأوصت أيض</w:t>
      </w:r>
      <w:r w:rsidR="004B1A4F" w:rsidRPr="00696A30">
        <w:rPr>
          <w:rFonts w:eastAsiaTheme="minorEastAsia"/>
          <w:rtl/>
        </w:rPr>
        <w:t xml:space="preserve">اً </w:t>
      </w:r>
      <w:r w:rsidRPr="00696A30">
        <w:rPr>
          <w:rFonts w:eastAsiaTheme="minorEastAsia"/>
          <w:rtl/>
        </w:rPr>
        <w:t>بأن تنشئ الدولة قاعدة بيانات وطنية عن جميع حالات العنف العائلي ضد الأطفال، وأن تجري تقييم</w:t>
      </w:r>
      <w:r w:rsidR="004B1A4F" w:rsidRPr="00696A30">
        <w:rPr>
          <w:rFonts w:eastAsiaTheme="minorEastAsia"/>
          <w:rtl/>
        </w:rPr>
        <w:t xml:space="preserve">اً </w:t>
      </w:r>
      <w:r w:rsidRPr="00696A30">
        <w:rPr>
          <w:rFonts w:eastAsiaTheme="minorEastAsia"/>
          <w:rtl/>
        </w:rPr>
        <w:t>كامل</w:t>
      </w:r>
      <w:r w:rsidR="004B1A4F" w:rsidRPr="00696A30">
        <w:rPr>
          <w:rFonts w:eastAsiaTheme="minorEastAsia"/>
          <w:rtl/>
        </w:rPr>
        <w:t xml:space="preserve">اً </w:t>
      </w:r>
      <w:r w:rsidRPr="00696A30">
        <w:rPr>
          <w:rFonts w:eastAsiaTheme="minorEastAsia"/>
          <w:rtl/>
        </w:rPr>
        <w:t xml:space="preserve">لمدى هذا العنف وأسبابه </w:t>
      </w:r>
      <w:proofErr w:type="gramStart"/>
      <w:r w:rsidRPr="00696A30">
        <w:rPr>
          <w:rFonts w:eastAsiaTheme="minorEastAsia"/>
          <w:rtl/>
        </w:rPr>
        <w:t>وطبيعته</w:t>
      </w:r>
      <w:r w:rsidRPr="00696A30">
        <w:rPr>
          <w:rFonts w:eastAsiaTheme="minorEastAsia"/>
          <w:vertAlign w:val="superscript"/>
          <w:rtl/>
        </w:rPr>
        <w:t>(</w:t>
      </w:r>
      <w:proofErr w:type="gramEnd"/>
      <w:r w:rsidRPr="00E841A5">
        <w:rPr>
          <w:rStyle w:val="EndnoteReference"/>
          <w:rFonts w:eastAsiaTheme="minorEastAsia"/>
          <w:lang w:val="en-US"/>
        </w:rPr>
        <w:endnoteReference w:id="105"/>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694764B7" w14:textId="41E7AB8C" w:rsidR="00056D32" w:rsidRPr="00696A30" w:rsidRDefault="00056D32" w:rsidP="00AD545D">
      <w:pPr>
        <w:pStyle w:val="SingleTxtGA"/>
        <w:spacing w:line="346" w:lineRule="exact"/>
        <w:rPr>
          <w:rFonts w:eastAsiaTheme="minorEastAsia"/>
          <w:szCs w:val="20"/>
          <w:lang w:val="ar-SA" w:eastAsia="zh-TW" w:bidi="en-GB"/>
        </w:rPr>
      </w:pPr>
      <w:r w:rsidRPr="00E841A5">
        <w:rPr>
          <w:rFonts w:eastAsiaTheme="minorEastAsia"/>
          <w:szCs w:val="20"/>
          <w:rtl/>
        </w:rPr>
        <w:t>91</w:t>
      </w:r>
      <w:r w:rsidRPr="00696A30">
        <w:rPr>
          <w:rFonts w:eastAsiaTheme="minorEastAsia"/>
          <w:szCs w:val="20"/>
          <w:rtl/>
        </w:rPr>
        <w:t>-</w:t>
      </w:r>
      <w:r w:rsidRPr="00696A30">
        <w:rPr>
          <w:rFonts w:eastAsiaTheme="minorEastAsia"/>
          <w:rtl/>
        </w:rPr>
        <w:tab/>
        <w:t xml:space="preserve">وأوصت اللجنة نفسها كذلك بأن تتخذ الدولة تدابير لضمان توافر الخط الهاتفي المباشر للأطفال طوال الأسبوع وعلى مدار الساعة، وضمان تخصيص موارد كافية له، وبأن تزيد عدد الملاجئ المخصصة للأطفال ضحايا الاعتداء والإهمال، وأن تيسر إعادة التأهيل البدني والنفسي للأطفال </w:t>
      </w:r>
      <w:proofErr w:type="gramStart"/>
      <w:r w:rsidRPr="00696A30">
        <w:rPr>
          <w:rFonts w:eastAsiaTheme="minorEastAsia"/>
          <w:rtl/>
        </w:rPr>
        <w:t>الضحايا</w:t>
      </w:r>
      <w:r w:rsidRPr="00696A30">
        <w:rPr>
          <w:rFonts w:eastAsiaTheme="minorEastAsia"/>
          <w:vertAlign w:val="superscript"/>
          <w:rtl/>
        </w:rPr>
        <w:t>(</w:t>
      </w:r>
      <w:proofErr w:type="gramEnd"/>
      <w:r w:rsidRPr="00E841A5">
        <w:rPr>
          <w:rStyle w:val="EndnoteReference"/>
          <w:rFonts w:eastAsiaTheme="minorEastAsia"/>
          <w:lang w:val="en-US"/>
        </w:rPr>
        <w:endnoteReference w:id="106"/>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72EFA58E" w14:textId="7FC78C8A" w:rsidR="00056D32" w:rsidRPr="00696A30" w:rsidRDefault="00056D32" w:rsidP="00AD545D">
      <w:pPr>
        <w:pStyle w:val="SingleTxtGA"/>
        <w:spacing w:line="346" w:lineRule="exact"/>
        <w:rPr>
          <w:rFonts w:eastAsiaTheme="minorEastAsia"/>
          <w:szCs w:val="20"/>
          <w:lang w:val="ar-SA" w:eastAsia="zh-TW" w:bidi="en-GB"/>
        </w:rPr>
      </w:pPr>
      <w:r w:rsidRPr="00E841A5">
        <w:rPr>
          <w:rFonts w:eastAsiaTheme="minorEastAsia"/>
          <w:szCs w:val="20"/>
          <w:rtl/>
        </w:rPr>
        <w:t>92</w:t>
      </w:r>
      <w:r w:rsidRPr="00696A30">
        <w:rPr>
          <w:rFonts w:eastAsiaTheme="minorEastAsia"/>
          <w:szCs w:val="20"/>
          <w:rtl/>
        </w:rPr>
        <w:t>-</w:t>
      </w:r>
      <w:r w:rsidRPr="00696A30">
        <w:rPr>
          <w:rFonts w:eastAsiaTheme="minorEastAsia"/>
          <w:rtl/>
        </w:rPr>
        <w:tab/>
        <w:t>وأوصت اللجنة أيض</w:t>
      </w:r>
      <w:r w:rsidR="004B1A4F" w:rsidRPr="00696A30">
        <w:rPr>
          <w:rFonts w:eastAsiaTheme="minorEastAsia"/>
          <w:rtl/>
        </w:rPr>
        <w:t xml:space="preserve">اً </w:t>
      </w:r>
      <w:r w:rsidRPr="00696A30">
        <w:rPr>
          <w:rFonts w:eastAsiaTheme="minorEastAsia"/>
          <w:rtl/>
        </w:rPr>
        <w:t>بأن تكفل الدولة تزويد جميع المهنيين والموظفين العاملين مع الأطفال ومن أجلهم بالتدريب اللازم، وأن تتحقق من خلفياتهم، وأن توفر تدريب</w:t>
      </w:r>
      <w:r w:rsidR="004B1A4F" w:rsidRPr="00696A30">
        <w:rPr>
          <w:rFonts w:eastAsiaTheme="minorEastAsia"/>
          <w:rtl/>
        </w:rPr>
        <w:t xml:space="preserve">اً </w:t>
      </w:r>
      <w:r w:rsidRPr="00696A30">
        <w:rPr>
          <w:rFonts w:eastAsiaTheme="minorEastAsia"/>
          <w:rtl/>
        </w:rPr>
        <w:t>منهجي</w:t>
      </w:r>
      <w:r w:rsidR="004B1A4F" w:rsidRPr="00696A30">
        <w:rPr>
          <w:rFonts w:eastAsiaTheme="minorEastAsia"/>
          <w:rtl/>
        </w:rPr>
        <w:t xml:space="preserve">اً </w:t>
      </w:r>
      <w:r w:rsidRPr="00696A30">
        <w:rPr>
          <w:rFonts w:eastAsiaTheme="minorEastAsia"/>
          <w:rtl/>
        </w:rPr>
        <w:t xml:space="preserve">للقضاة والمدعين العامين وأفراد الشرطة وغيرهم من موظفي إنفاذ القانون على كيفية منع العنف العائلي ورصده وتلقي الشكاوى المتعلقة به والتحقيق فيها بطريقة تراعي الأطفال والفوارق بين الجنسين، ومحاكمة </w:t>
      </w:r>
      <w:proofErr w:type="gramStart"/>
      <w:r w:rsidRPr="00696A30">
        <w:rPr>
          <w:rFonts w:eastAsiaTheme="minorEastAsia"/>
          <w:rtl/>
        </w:rPr>
        <w:t>مرتكبيه</w:t>
      </w:r>
      <w:r w:rsidRPr="00696A30">
        <w:rPr>
          <w:rFonts w:eastAsiaTheme="minorEastAsia"/>
          <w:vertAlign w:val="superscript"/>
          <w:rtl/>
        </w:rPr>
        <w:t>(</w:t>
      </w:r>
      <w:proofErr w:type="gramEnd"/>
      <w:r w:rsidRPr="00E841A5">
        <w:rPr>
          <w:rStyle w:val="EndnoteReference"/>
          <w:rFonts w:eastAsiaTheme="minorEastAsia"/>
          <w:lang w:val="en-US"/>
        </w:rPr>
        <w:endnoteReference w:id="107"/>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6EAF3A0F" w14:textId="55AC3D3F" w:rsidR="00056D32" w:rsidRPr="00696A30" w:rsidRDefault="00056D32" w:rsidP="00AD545D">
      <w:pPr>
        <w:pStyle w:val="SingleTxtGA"/>
        <w:spacing w:line="346" w:lineRule="exact"/>
        <w:rPr>
          <w:rFonts w:eastAsiaTheme="minorEastAsia"/>
          <w:szCs w:val="20"/>
          <w:lang w:val="ar-SA" w:eastAsia="zh-TW" w:bidi="en-GB"/>
        </w:rPr>
      </w:pPr>
      <w:r w:rsidRPr="00E841A5">
        <w:rPr>
          <w:rFonts w:eastAsiaTheme="minorEastAsia"/>
          <w:szCs w:val="20"/>
          <w:rtl/>
        </w:rPr>
        <w:t>93</w:t>
      </w:r>
      <w:r w:rsidRPr="00696A30">
        <w:rPr>
          <w:rFonts w:eastAsiaTheme="minorEastAsia"/>
          <w:szCs w:val="20"/>
          <w:rtl/>
        </w:rPr>
        <w:t>-</w:t>
      </w:r>
      <w:r w:rsidRPr="00696A30">
        <w:rPr>
          <w:rFonts w:eastAsiaTheme="minorEastAsia"/>
          <w:rtl/>
        </w:rPr>
        <w:tab/>
        <w:t xml:space="preserve">وأعربت اللجنة عن قلقها البالغ إزاء ارتفاع معدل الاعتداء والاستغلال الجنسيين على الأطفال في الدولة، بما في ذلك سفاح المحارم، ولا سيما ضد الفتيات. وقالت إنها تشعر بالقلق إزاء عدم وجود ملاجئ للأطفال الضحايا، وإزاء المعلومات المتعلقة بالتحقيقات في حالات الاعتداء الجنسي، بما في ذلك نتائج هذه المحاكمات والإنصاف والتعويض المقدم إلى </w:t>
      </w:r>
      <w:proofErr w:type="gramStart"/>
      <w:r w:rsidRPr="00696A30">
        <w:rPr>
          <w:rFonts w:eastAsiaTheme="minorEastAsia"/>
          <w:rtl/>
        </w:rPr>
        <w:t>الضحايا</w:t>
      </w:r>
      <w:r w:rsidRPr="00696A30">
        <w:rPr>
          <w:rFonts w:eastAsiaTheme="minorEastAsia"/>
          <w:vertAlign w:val="superscript"/>
          <w:rtl/>
        </w:rPr>
        <w:t>(</w:t>
      </w:r>
      <w:proofErr w:type="gramEnd"/>
      <w:r w:rsidRPr="00E841A5">
        <w:rPr>
          <w:rStyle w:val="EndnoteReference"/>
          <w:rFonts w:eastAsiaTheme="minorEastAsia"/>
          <w:lang w:val="en-US"/>
        </w:rPr>
        <w:endnoteReference w:id="108"/>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3534CDB" w14:textId="343A2755" w:rsidR="00056D32" w:rsidRPr="00696A30" w:rsidRDefault="00056D32" w:rsidP="00AD545D">
      <w:pPr>
        <w:pStyle w:val="SingleTxtGA"/>
        <w:spacing w:line="346" w:lineRule="exact"/>
        <w:rPr>
          <w:rFonts w:eastAsiaTheme="minorEastAsia"/>
          <w:szCs w:val="20"/>
          <w:lang w:val="ar-SA" w:eastAsia="zh-TW" w:bidi="en-GB"/>
        </w:rPr>
      </w:pPr>
      <w:r w:rsidRPr="00E841A5">
        <w:rPr>
          <w:rFonts w:eastAsiaTheme="minorEastAsia"/>
          <w:szCs w:val="20"/>
          <w:rtl/>
        </w:rPr>
        <w:t>94</w:t>
      </w:r>
      <w:r w:rsidRPr="00696A30">
        <w:rPr>
          <w:rFonts w:eastAsiaTheme="minorEastAsia"/>
          <w:szCs w:val="20"/>
          <w:rtl/>
        </w:rPr>
        <w:t>-</w:t>
      </w:r>
      <w:r w:rsidRPr="00696A30">
        <w:rPr>
          <w:rFonts w:eastAsiaTheme="minorEastAsia"/>
          <w:rtl/>
        </w:rPr>
        <w:tab/>
        <w:t xml:space="preserve">وحثت اللجنة الدولة على وضع آليات وإجراءات ومبادئ توجيهية لضمان الإبلاغ الإلزامي عن الاعتداء والاستغلال الجنسيين للأطفال، وضمان التحقيق الفعال في أعمال الاعتداء والاستغلال الجنسيين، وتقديم مرتكبيها إلى العدالة، مع التركيز على المناطق الداخلية </w:t>
      </w:r>
      <w:proofErr w:type="gramStart"/>
      <w:r w:rsidRPr="00696A30">
        <w:rPr>
          <w:rFonts w:eastAsiaTheme="minorEastAsia"/>
          <w:rtl/>
        </w:rPr>
        <w:t>للدولة</w:t>
      </w:r>
      <w:r w:rsidRPr="00696A30">
        <w:rPr>
          <w:rFonts w:eastAsiaTheme="minorEastAsia"/>
          <w:vertAlign w:val="superscript"/>
          <w:rtl/>
        </w:rPr>
        <w:t>(</w:t>
      </w:r>
      <w:proofErr w:type="gramEnd"/>
      <w:r w:rsidRPr="00E841A5">
        <w:rPr>
          <w:rStyle w:val="EndnoteReference"/>
          <w:rFonts w:eastAsiaTheme="minorEastAsia"/>
          <w:lang w:val="en-US"/>
        </w:rPr>
        <w:endnoteReference w:id="109"/>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3DB84DB1" w14:textId="79180EB5" w:rsidR="00056D32" w:rsidRPr="00696A30" w:rsidRDefault="00056D32" w:rsidP="00AD545D">
      <w:pPr>
        <w:pStyle w:val="SingleTxtGA"/>
        <w:spacing w:line="346" w:lineRule="exact"/>
        <w:rPr>
          <w:rFonts w:eastAsiaTheme="minorEastAsia"/>
          <w:szCs w:val="20"/>
          <w:lang w:val="en-US" w:eastAsia="zh-TW" w:bidi="en-GB"/>
        </w:rPr>
      </w:pPr>
      <w:r w:rsidRPr="00E841A5">
        <w:rPr>
          <w:rFonts w:eastAsiaTheme="minorEastAsia"/>
          <w:szCs w:val="20"/>
          <w:rtl/>
        </w:rPr>
        <w:t>95</w:t>
      </w:r>
      <w:r w:rsidRPr="00696A30">
        <w:rPr>
          <w:rFonts w:eastAsiaTheme="minorEastAsia"/>
          <w:szCs w:val="20"/>
          <w:rtl/>
        </w:rPr>
        <w:t>-</w:t>
      </w:r>
      <w:r w:rsidRPr="00696A30">
        <w:rPr>
          <w:rFonts w:eastAsiaTheme="minorEastAsia"/>
          <w:rtl/>
        </w:rPr>
        <w:tab/>
        <w:t>وحثت اللجنة أيض</w:t>
      </w:r>
      <w:r w:rsidR="004B1A4F" w:rsidRPr="00696A30">
        <w:rPr>
          <w:rFonts w:eastAsiaTheme="minorEastAsia"/>
          <w:rtl/>
        </w:rPr>
        <w:t xml:space="preserve">اً </w:t>
      </w:r>
      <w:r w:rsidRPr="00696A30">
        <w:rPr>
          <w:rFonts w:eastAsiaTheme="minorEastAsia"/>
          <w:rtl/>
        </w:rPr>
        <w:t>الدولة على تحسين الملاجئ القائمة وفتح ملاجئ إضافية للأطفال ضحايا الاعتداء الجنسي وضمان تزويد هذه الملاجئ بموظفين مدربين تدريب</w:t>
      </w:r>
      <w:r w:rsidR="004B1A4F" w:rsidRPr="00696A30">
        <w:rPr>
          <w:rFonts w:eastAsiaTheme="minorEastAsia"/>
          <w:rtl/>
        </w:rPr>
        <w:t xml:space="preserve">اً </w:t>
      </w:r>
      <w:r w:rsidRPr="00696A30">
        <w:rPr>
          <w:rFonts w:eastAsiaTheme="minorEastAsia"/>
          <w:rtl/>
        </w:rPr>
        <w:t>مناسب</w:t>
      </w:r>
      <w:r w:rsidR="004B1A4F" w:rsidRPr="00696A30">
        <w:rPr>
          <w:rFonts w:eastAsiaTheme="minorEastAsia"/>
          <w:rtl/>
        </w:rPr>
        <w:t xml:space="preserve">اً </w:t>
      </w:r>
      <w:r w:rsidRPr="00696A30">
        <w:rPr>
          <w:rFonts w:eastAsiaTheme="minorEastAsia"/>
          <w:rtl/>
        </w:rPr>
        <w:t xml:space="preserve">وبالموارد اللازمة لتقديم خدمات شاملة على نحو </w:t>
      </w:r>
      <w:proofErr w:type="gramStart"/>
      <w:r w:rsidRPr="00696A30">
        <w:rPr>
          <w:rFonts w:eastAsiaTheme="minorEastAsia"/>
          <w:rtl/>
        </w:rPr>
        <w:t>فعال</w:t>
      </w:r>
      <w:r w:rsidRPr="00696A30">
        <w:rPr>
          <w:rFonts w:eastAsiaTheme="minorEastAsia"/>
          <w:vertAlign w:val="superscript"/>
          <w:rtl/>
        </w:rPr>
        <w:t>(</w:t>
      </w:r>
      <w:proofErr w:type="gramEnd"/>
      <w:r w:rsidRPr="00E841A5">
        <w:rPr>
          <w:rStyle w:val="EndnoteReference"/>
          <w:rFonts w:eastAsiaTheme="minorEastAsia"/>
          <w:lang w:val="en-US"/>
        </w:rPr>
        <w:endnoteReference w:id="110"/>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62895ADD" w14:textId="3DFA7668" w:rsidR="00056D32" w:rsidRPr="00696A30" w:rsidRDefault="00056D32" w:rsidP="00AD545D">
      <w:pPr>
        <w:pStyle w:val="SingleTxtGA"/>
        <w:spacing w:line="346" w:lineRule="exact"/>
        <w:rPr>
          <w:rFonts w:eastAsiaTheme="minorEastAsia"/>
          <w:szCs w:val="20"/>
          <w:lang w:val="en-US" w:eastAsia="zh-TW" w:bidi="en-GB"/>
        </w:rPr>
      </w:pPr>
      <w:r w:rsidRPr="00E841A5">
        <w:rPr>
          <w:rFonts w:eastAsiaTheme="minorEastAsia"/>
          <w:szCs w:val="20"/>
          <w:rtl/>
        </w:rPr>
        <w:t>96</w:t>
      </w:r>
      <w:r w:rsidRPr="00696A30">
        <w:rPr>
          <w:rFonts w:eastAsiaTheme="minorEastAsia"/>
          <w:szCs w:val="20"/>
          <w:rtl/>
        </w:rPr>
        <w:t>-</w:t>
      </w:r>
      <w:r w:rsidRPr="00696A30">
        <w:rPr>
          <w:rFonts w:eastAsiaTheme="minorEastAsia"/>
          <w:rtl/>
        </w:rPr>
        <w:tab/>
        <w:t xml:space="preserve">وأوصت اللجنة بأن تدعم الدولة وتسهل الرعاية الأسرية للأطفال، بمن فيهم الأطفال في الأسر التي يرعاها أحد الوالدين، حيثما أمكن، وأن تعزز نظام الكفالة للأطفال الذين لا يستطيعون البقاء مع أسرهم، بسبل منها اعتماد وتنفيذ مشروع قانون الأطفال المكفولين، بغية الحد من إيداع الأطفال في مؤسسات </w:t>
      </w:r>
      <w:proofErr w:type="gramStart"/>
      <w:r w:rsidRPr="00696A30">
        <w:rPr>
          <w:rFonts w:eastAsiaTheme="minorEastAsia"/>
          <w:rtl/>
        </w:rPr>
        <w:t>رعاية</w:t>
      </w:r>
      <w:r w:rsidRPr="00696A30">
        <w:rPr>
          <w:rFonts w:eastAsiaTheme="minorEastAsia"/>
          <w:vertAlign w:val="superscript"/>
          <w:rtl/>
        </w:rPr>
        <w:t>(</w:t>
      </w:r>
      <w:proofErr w:type="gramEnd"/>
      <w:r w:rsidRPr="00E841A5">
        <w:rPr>
          <w:rStyle w:val="EndnoteReference"/>
          <w:rFonts w:eastAsiaTheme="minorEastAsia"/>
          <w:lang w:val="en-US"/>
        </w:rPr>
        <w:endnoteReference w:id="111"/>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4A6FA8C6" w14:textId="35ABE8EC" w:rsidR="00056D32" w:rsidRPr="00696A30" w:rsidRDefault="00056D32" w:rsidP="00AD545D">
      <w:pPr>
        <w:pStyle w:val="SingleTxtGA"/>
        <w:spacing w:line="346" w:lineRule="exact"/>
        <w:rPr>
          <w:rFonts w:eastAsiaTheme="minorEastAsia"/>
          <w:szCs w:val="20"/>
          <w:lang w:val="ar-SA" w:eastAsia="zh-TW" w:bidi="en-GB"/>
        </w:rPr>
      </w:pPr>
      <w:r w:rsidRPr="00E841A5">
        <w:rPr>
          <w:rFonts w:eastAsiaTheme="minorEastAsia"/>
          <w:szCs w:val="20"/>
          <w:rtl/>
        </w:rPr>
        <w:t>97</w:t>
      </w:r>
      <w:r w:rsidRPr="00696A30">
        <w:rPr>
          <w:rFonts w:eastAsiaTheme="minorEastAsia"/>
          <w:szCs w:val="20"/>
          <w:rtl/>
        </w:rPr>
        <w:t>-</w:t>
      </w:r>
      <w:r w:rsidRPr="00696A30">
        <w:rPr>
          <w:rFonts w:eastAsiaTheme="minorEastAsia"/>
          <w:rtl/>
        </w:rPr>
        <w:tab/>
        <w:t>وأوصت اللجنة أيض</w:t>
      </w:r>
      <w:r w:rsidR="004B1A4F" w:rsidRPr="00696A30">
        <w:rPr>
          <w:rFonts w:eastAsiaTheme="minorEastAsia"/>
          <w:rtl/>
        </w:rPr>
        <w:t xml:space="preserve">اً </w:t>
      </w:r>
      <w:r w:rsidRPr="00696A30">
        <w:rPr>
          <w:rFonts w:eastAsiaTheme="minorEastAsia"/>
          <w:rtl/>
        </w:rPr>
        <w:t xml:space="preserve">بأن تكفل الدولة تخصيص الموارد البشرية والتقنية والمالية الكافية لمراكز الرعاية البديلة وخدمات حماية الطفل ذات الصلة، وأن تعتمد وتنفذ مشروع قانون حماية الأطفال في مؤسسات الرعاية الداخلية والرعاية النهارية ومشروع قانون مؤسسات الرعاية لضمان احترام جميع مرافق الرعاية هذه للمتطلبات والمعايير المناسبة لمنح </w:t>
      </w:r>
      <w:proofErr w:type="gramStart"/>
      <w:r w:rsidRPr="00696A30">
        <w:rPr>
          <w:rFonts w:eastAsiaTheme="minorEastAsia"/>
          <w:rtl/>
        </w:rPr>
        <w:t>الشهادات</w:t>
      </w:r>
      <w:r w:rsidRPr="00696A30">
        <w:rPr>
          <w:rFonts w:eastAsiaTheme="minorEastAsia"/>
          <w:vertAlign w:val="superscript"/>
          <w:rtl/>
        </w:rPr>
        <w:t>(</w:t>
      </w:r>
      <w:proofErr w:type="gramEnd"/>
      <w:r w:rsidRPr="00E841A5">
        <w:rPr>
          <w:rStyle w:val="EndnoteReference"/>
          <w:rFonts w:eastAsiaTheme="minorEastAsia"/>
          <w:lang w:val="en-US"/>
        </w:rPr>
        <w:endnoteReference w:id="112"/>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38AAA1A0" w14:textId="02A9F2A8" w:rsidR="00056D32" w:rsidRPr="00696A30" w:rsidRDefault="00056D32" w:rsidP="00AD545D">
      <w:pPr>
        <w:pStyle w:val="SingleTxtGA"/>
        <w:spacing w:line="346" w:lineRule="exact"/>
        <w:rPr>
          <w:rFonts w:eastAsiaTheme="minorEastAsia"/>
          <w:szCs w:val="20"/>
          <w:lang w:val="ar-SA" w:eastAsia="zh-TW" w:bidi="en-GB"/>
        </w:rPr>
      </w:pPr>
      <w:r w:rsidRPr="00E841A5">
        <w:rPr>
          <w:rFonts w:eastAsiaTheme="minorEastAsia"/>
          <w:szCs w:val="20"/>
          <w:rtl/>
        </w:rPr>
        <w:t>98</w:t>
      </w:r>
      <w:r w:rsidRPr="00696A30">
        <w:rPr>
          <w:rFonts w:eastAsiaTheme="minorEastAsia"/>
          <w:szCs w:val="20"/>
          <w:rtl/>
        </w:rPr>
        <w:t>-</w:t>
      </w:r>
      <w:r w:rsidRPr="00696A30">
        <w:rPr>
          <w:rFonts w:eastAsiaTheme="minorEastAsia"/>
          <w:rtl/>
        </w:rPr>
        <w:tab/>
        <w:t xml:space="preserve">وذكر فريق الأمم المتحدة القطري أن حوالي </w:t>
      </w:r>
      <w:r w:rsidRPr="00E841A5">
        <w:rPr>
          <w:rFonts w:eastAsiaTheme="minorEastAsia"/>
          <w:szCs w:val="20"/>
          <w:rtl/>
        </w:rPr>
        <w:t>6</w:t>
      </w:r>
      <w:r w:rsidR="00EF00F7" w:rsidRPr="00696A30">
        <w:rPr>
          <w:rFonts w:eastAsiaTheme="minorEastAsia" w:hint="cs"/>
          <w:szCs w:val="20"/>
          <w:rtl/>
        </w:rPr>
        <w:t>,</w:t>
      </w:r>
      <w:r w:rsidRPr="00E841A5">
        <w:rPr>
          <w:rFonts w:eastAsiaTheme="minorEastAsia"/>
          <w:szCs w:val="20"/>
          <w:rtl/>
        </w:rPr>
        <w:t>1</w:t>
      </w:r>
      <w:r w:rsidRPr="00696A30">
        <w:rPr>
          <w:rFonts w:eastAsiaTheme="minorEastAsia"/>
          <w:rtl/>
        </w:rPr>
        <w:t xml:space="preserve"> في المائة </w:t>
      </w:r>
      <w:r w:rsidRPr="00696A30">
        <w:rPr>
          <w:rFonts w:eastAsiaTheme="minorEastAsia"/>
          <w:szCs w:val="20"/>
          <w:rtl/>
        </w:rPr>
        <w:t>(</w:t>
      </w:r>
      <w:r w:rsidRPr="00E841A5">
        <w:rPr>
          <w:rFonts w:eastAsiaTheme="minorEastAsia"/>
          <w:szCs w:val="20"/>
          <w:rtl/>
        </w:rPr>
        <w:t>7</w:t>
      </w:r>
      <w:r w:rsidR="0004212D" w:rsidRPr="00696A30">
        <w:rPr>
          <w:rFonts w:eastAsiaTheme="minorEastAsia" w:hint="cs"/>
          <w:szCs w:val="20"/>
          <w:rtl/>
        </w:rPr>
        <w:t>,</w:t>
      </w:r>
      <w:r w:rsidRPr="00E841A5">
        <w:rPr>
          <w:rFonts w:eastAsiaTheme="minorEastAsia"/>
          <w:szCs w:val="20"/>
          <w:rtl/>
        </w:rPr>
        <w:t>5</w:t>
      </w:r>
      <w:r w:rsidRPr="00696A30">
        <w:rPr>
          <w:rFonts w:eastAsiaTheme="minorEastAsia"/>
          <w:rtl/>
        </w:rPr>
        <w:t xml:space="preserve"> في المائة من الفتيان</w:t>
      </w:r>
      <w:r w:rsidR="007532BE" w:rsidRPr="00696A30">
        <w:rPr>
          <w:rFonts w:eastAsiaTheme="minorEastAsia"/>
          <w:rtl/>
        </w:rPr>
        <w:t xml:space="preserve"> و</w:t>
      </w:r>
      <w:r w:rsidRPr="00E841A5">
        <w:rPr>
          <w:rFonts w:eastAsiaTheme="minorEastAsia"/>
          <w:szCs w:val="20"/>
          <w:rtl/>
        </w:rPr>
        <w:t>4</w:t>
      </w:r>
      <w:r w:rsidR="0004212D" w:rsidRPr="00696A30">
        <w:rPr>
          <w:rFonts w:eastAsiaTheme="minorEastAsia" w:hint="cs"/>
          <w:szCs w:val="20"/>
          <w:rtl/>
        </w:rPr>
        <w:t>,</w:t>
      </w:r>
      <w:r w:rsidRPr="00E841A5">
        <w:rPr>
          <w:rFonts w:eastAsiaTheme="minorEastAsia"/>
          <w:szCs w:val="20"/>
          <w:rtl/>
        </w:rPr>
        <w:t>5</w:t>
      </w:r>
      <w:r w:rsidRPr="00696A30">
        <w:rPr>
          <w:rFonts w:eastAsiaTheme="minorEastAsia"/>
          <w:rtl/>
        </w:rPr>
        <w:t xml:space="preserve"> في المائة من الفتيات) من الأطفال الذين تتراوح أعمارهم بين </w:t>
      </w:r>
      <w:r w:rsidRPr="00E841A5">
        <w:rPr>
          <w:rFonts w:eastAsiaTheme="minorEastAsia"/>
          <w:szCs w:val="20"/>
          <w:rtl/>
        </w:rPr>
        <w:t>5</w:t>
      </w:r>
      <w:r w:rsidRPr="00696A30">
        <w:rPr>
          <w:rFonts w:eastAsiaTheme="minorEastAsia"/>
          <w:rtl/>
        </w:rPr>
        <w:t xml:space="preserve"> سنوات و</w:t>
      </w:r>
      <w:r w:rsidRPr="00E841A5">
        <w:rPr>
          <w:rFonts w:eastAsiaTheme="minorEastAsia"/>
          <w:szCs w:val="20"/>
          <w:rtl/>
        </w:rPr>
        <w:t>17</w:t>
      </w:r>
      <w:r w:rsidRPr="00696A30">
        <w:rPr>
          <w:rFonts w:eastAsiaTheme="minorEastAsia"/>
          <w:rtl/>
        </w:rPr>
        <w:t xml:space="preserve"> سنة في سورينام يعملون في مجال عمل الأطفال، وأوصى بأن تواصل الحكومة العمل من أجل القضاء على عمل </w:t>
      </w:r>
      <w:proofErr w:type="gramStart"/>
      <w:r w:rsidRPr="00696A30">
        <w:rPr>
          <w:rFonts w:eastAsiaTheme="minorEastAsia"/>
          <w:rtl/>
        </w:rPr>
        <w:t>الأطفال</w:t>
      </w:r>
      <w:r w:rsidRPr="00696A30">
        <w:rPr>
          <w:rFonts w:eastAsiaTheme="minorEastAsia"/>
          <w:vertAlign w:val="superscript"/>
          <w:rtl/>
        </w:rPr>
        <w:t>(</w:t>
      </w:r>
      <w:proofErr w:type="gramEnd"/>
      <w:r w:rsidRPr="00E841A5">
        <w:rPr>
          <w:rStyle w:val="EndnoteReference"/>
          <w:rFonts w:eastAsiaTheme="minorEastAsia"/>
          <w:lang w:val="en-US"/>
        </w:rPr>
        <w:endnoteReference w:id="113"/>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5074DF9" w14:textId="577EDB31" w:rsidR="00056D32" w:rsidRPr="00696A30" w:rsidRDefault="00056D32" w:rsidP="00AD545D">
      <w:pPr>
        <w:pStyle w:val="SingleTxtGA"/>
        <w:spacing w:line="346" w:lineRule="exact"/>
        <w:rPr>
          <w:rFonts w:eastAsiaTheme="minorEastAsia"/>
          <w:szCs w:val="20"/>
          <w:lang w:val="ar-SA" w:eastAsia="zh-TW" w:bidi="en-GB"/>
        </w:rPr>
      </w:pPr>
      <w:r w:rsidRPr="00E841A5">
        <w:rPr>
          <w:rFonts w:eastAsiaTheme="minorEastAsia"/>
          <w:szCs w:val="20"/>
          <w:rtl/>
        </w:rPr>
        <w:t>99</w:t>
      </w:r>
      <w:r w:rsidRPr="00696A30">
        <w:rPr>
          <w:rFonts w:eastAsiaTheme="minorEastAsia"/>
          <w:szCs w:val="20"/>
          <w:rtl/>
        </w:rPr>
        <w:t>-</w:t>
      </w:r>
      <w:r w:rsidRPr="00696A30">
        <w:rPr>
          <w:rFonts w:eastAsiaTheme="minorEastAsia"/>
          <w:rtl/>
        </w:rPr>
        <w:tab/>
        <w:t xml:space="preserve">وأعربت لجنة حقوق الطفل عن قلقها البالغ إزاء استمرار عمل الأطفال في الدولة، في قطاعات الزراعة وصيد الأسماك والأخشاب والتعدين والعمل المنزلي، ولا سيما بشأن الأولاد من مجتمعات المارون في المناطق الداخلية الممثلين بشكل غير متناسب في أسوأ أشكال عمل </w:t>
      </w:r>
      <w:proofErr w:type="gramStart"/>
      <w:r w:rsidRPr="00696A30">
        <w:rPr>
          <w:rFonts w:eastAsiaTheme="minorEastAsia"/>
          <w:rtl/>
        </w:rPr>
        <w:t>الأطفال</w:t>
      </w:r>
      <w:r w:rsidRPr="00696A30">
        <w:rPr>
          <w:rFonts w:eastAsiaTheme="minorEastAsia"/>
          <w:vertAlign w:val="superscript"/>
          <w:rtl/>
        </w:rPr>
        <w:t>(</w:t>
      </w:r>
      <w:proofErr w:type="gramEnd"/>
      <w:r w:rsidRPr="00E841A5">
        <w:rPr>
          <w:rStyle w:val="EndnoteReference"/>
          <w:rFonts w:eastAsiaTheme="minorEastAsia"/>
          <w:lang w:val="en-US"/>
        </w:rPr>
        <w:endnoteReference w:id="114"/>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446EA94" w14:textId="47C4B696"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lastRenderedPageBreak/>
        <w:t>100</w:t>
      </w:r>
      <w:r w:rsidRPr="00696A30">
        <w:rPr>
          <w:rFonts w:eastAsiaTheme="minorEastAsia"/>
          <w:szCs w:val="20"/>
          <w:rtl/>
        </w:rPr>
        <w:t>-</w:t>
      </w:r>
      <w:r w:rsidRPr="00696A30">
        <w:rPr>
          <w:rFonts w:eastAsiaTheme="minorEastAsia"/>
          <w:rtl/>
        </w:rPr>
        <w:tab/>
        <w:t>وحثت اللجنة نفسها الدولة على اتخاذ تدابير لمنع استغلال الأطفال اقتصادي</w:t>
      </w:r>
      <w:r w:rsidR="004B1A4F" w:rsidRPr="00696A30">
        <w:rPr>
          <w:rFonts w:eastAsiaTheme="minorEastAsia"/>
          <w:rtl/>
        </w:rPr>
        <w:t xml:space="preserve">اً </w:t>
      </w:r>
      <w:r w:rsidRPr="00696A30">
        <w:rPr>
          <w:rFonts w:eastAsiaTheme="minorEastAsia"/>
          <w:rtl/>
        </w:rPr>
        <w:t xml:space="preserve">بضمان إنفاذ الأحكام ذات الصلة من قانون العمل وقانون العقوبات والتشريعات الأخرى المتعلقة بأعمال الأطفال، واعتماد سياسات لمكافحة عمل الأطفال في القطاعين الرسمي وغير </w:t>
      </w:r>
      <w:proofErr w:type="gramStart"/>
      <w:r w:rsidRPr="00696A30">
        <w:rPr>
          <w:rFonts w:eastAsiaTheme="minorEastAsia"/>
          <w:rtl/>
        </w:rPr>
        <w:t>الرسمي</w:t>
      </w:r>
      <w:r w:rsidRPr="00696A30">
        <w:rPr>
          <w:rFonts w:eastAsiaTheme="minorEastAsia"/>
          <w:vertAlign w:val="superscript"/>
          <w:rtl/>
        </w:rPr>
        <w:t>(</w:t>
      </w:r>
      <w:proofErr w:type="gramEnd"/>
      <w:r w:rsidRPr="00E841A5">
        <w:rPr>
          <w:rStyle w:val="EndnoteReference"/>
          <w:rFonts w:eastAsiaTheme="minorEastAsia"/>
          <w:lang w:val="en-US"/>
        </w:rPr>
        <w:endnoteReference w:id="115"/>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2FA1EE2F" w14:textId="34735F6F" w:rsidR="00056D32" w:rsidRPr="00E841A5" w:rsidRDefault="00056D32" w:rsidP="00056D32">
      <w:pPr>
        <w:pStyle w:val="H23GA"/>
        <w:rPr>
          <w:rFonts w:eastAsiaTheme="minorEastAsia"/>
          <w:szCs w:val="20"/>
          <w:lang w:val="en-US" w:eastAsia="zh-TW" w:bidi="en-GB"/>
        </w:rPr>
      </w:pPr>
      <w:r w:rsidRPr="00E841A5">
        <w:rPr>
          <w:rFonts w:eastAsiaTheme="minorEastAsia"/>
          <w:szCs w:val="20"/>
          <w:rtl/>
        </w:rPr>
        <w:tab/>
        <w:t>3-</w:t>
      </w:r>
      <w:r w:rsidRPr="00E841A5">
        <w:rPr>
          <w:rFonts w:eastAsiaTheme="minorEastAsia"/>
          <w:rtl/>
        </w:rPr>
        <w:tab/>
        <w:t>الأشخاص ذوو الإعاقة</w:t>
      </w:r>
      <w:r w:rsidRPr="00696A30">
        <w:rPr>
          <w:rStyle w:val="EndnoteReference"/>
          <w:rFonts w:eastAsiaTheme="minorEastAsia"/>
          <w:b w:val="0"/>
          <w:bCs w:val="0"/>
          <w:rtl/>
        </w:rPr>
        <w:t>(</w:t>
      </w:r>
      <w:r w:rsidRPr="00E841A5">
        <w:rPr>
          <w:rStyle w:val="EndnoteReference"/>
          <w:rFonts w:eastAsiaTheme="minorEastAsia"/>
          <w:b w:val="0"/>
          <w:bCs w:val="0"/>
          <w:lang w:val="en-US"/>
        </w:rPr>
        <w:endnoteReference w:id="116"/>
      </w:r>
      <w:r w:rsidRPr="00696A30">
        <w:rPr>
          <w:rStyle w:val="EndnoteReference"/>
          <w:rFonts w:eastAsiaTheme="minorEastAsia"/>
          <w:b w:val="0"/>
          <w:bCs w:val="0"/>
          <w:rtl/>
        </w:rPr>
        <w:t>)</w:t>
      </w:r>
    </w:p>
    <w:p w14:paraId="723B4050" w14:textId="134657E8"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101</w:t>
      </w:r>
      <w:r w:rsidRPr="00696A30">
        <w:rPr>
          <w:rFonts w:eastAsiaTheme="minorEastAsia"/>
          <w:szCs w:val="20"/>
          <w:rtl/>
        </w:rPr>
        <w:t>-</w:t>
      </w:r>
      <w:r w:rsidRPr="00696A30">
        <w:rPr>
          <w:rFonts w:eastAsiaTheme="minorEastAsia"/>
          <w:rtl/>
        </w:rPr>
        <w:tab/>
        <w:t>ذكر فريق الأمم المتحدة القطري أنه لا توجد قوانين تحظر التمييز ضد الأشخاص ذوي الإعاقات البدنية أو العقلية. ويعاني الأشخاص ذوو الإعاقة من التمييز عند التقدم بطلبات للحصول على وظائف وخدمات. ولا تنص أي قوانين على وجه التحديد على وجوب تشييد المباني وفق</w:t>
      </w:r>
      <w:r w:rsidR="004B1A4F" w:rsidRPr="00696A30">
        <w:rPr>
          <w:rFonts w:eastAsiaTheme="minorEastAsia"/>
          <w:rtl/>
        </w:rPr>
        <w:t xml:space="preserve">اً </w:t>
      </w:r>
      <w:r w:rsidRPr="00696A30">
        <w:rPr>
          <w:rFonts w:eastAsiaTheme="minorEastAsia"/>
          <w:rtl/>
        </w:rPr>
        <w:t xml:space="preserve">للقوانين التي تضمن إمكانية </w:t>
      </w:r>
      <w:proofErr w:type="gramStart"/>
      <w:r w:rsidRPr="00696A30">
        <w:rPr>
          <w:rFonts w:eastAsiaTheme="minorEastAsia"/>
          <w:rtl/>
        </w:rPr>
        <w:t>الوصول</w:t>
      </w:r>
      <w:r w:rsidRPr="00696A30">
        <w:rPr>
          <w:rFonts w:eastAsiaTheme="minorEastAsia"/>
          <w:vertAlign w:val="superscript"/>
          <w:rtl/>
        </w:rPr>
        <w:t>(</w:t>
      </w:r>
      <w:proofErr w:type="gramEnd"/>
      <w:r w:rsidRPr="00E841A5">
        <w:rPr>
          <w:rStyle w:val="EndnoteReference"/>
          <w:rFonts w:eastAsiaTheme="minorEastAsia"/>
          <w:lang w:val="en-US"/>
        </w:rPr>
        <w:endnoteReference w:id="117"/>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661F2297" w14:textId="23DA883C"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102</w:t>
      </w:r>
      <w:r w:rsidRPr="00696A30">
        <w:rPr>
          <w:rFonts w:eastAsiaTheme="minorEastAsia"/>
          <w:szCs w:val="20"/>
          <w:rtl/>
        </w:rPr>
        <w:t>-</w:t>
      </w:r>
      <w:r w:rsidRPr="00696A30">
        <w:rPr>
          <w:rFonts w:eastAsiaTheme="minorEastAsia"/>
          <w:rtl/>
        </w:rPr>
        <w:tab/>
        <w:t>وذكرت لجنة حقوق الطفل أن الأطفال ذوي الإعاقة ما زالوا يواجهون التمييز وما زالوا غير مندمجين اندماج</w:t>
      </w:r>
      <w:r w:rsidR="004B1A4F" w:rsidRPr="00696A30">
        <w:rPr>
          <w:rFonts w:eastAsiaTheme="minorEastAsia"/>
          <w:rtl/>
        </w:rPr>
        <w:t xml:space="preserve">اً </w:t>
      </w:r>
      <w:r w:rsidRPr="00696A30">
        <w:rPr>
          <w:rFonts w:eastAsiaTheme="minorEastAsia"/>
          <w:rtl/>
        </w:rPr>
        <w:t>فعلي</w:t>
      </w:r>
      <w:r w:rsidR="004B1A4F" w:rsidRPr="00696A30">
        <w:rPr>
          <w:rFonts w:eastAsiaTheme="minorEastAsia"/>
          <w:rtl/>
        </w:rPr>
        <w:t xml:space="preserve">اً </w:t>
      </w:r>
      <w:r w:rsidRPr="00696A30">
        <w:rPr>
          <w:rFonts w:eastAsiaTheme="minorEastAsia"/>
          <w:rtl/>
        </w:rPr>
        <w:t xml:space="preserve">في جميع مجالات الحياة الاجتماعية، بما في ذلك في نظام التعليم، ولا سيما في المناطق الداخلية </w:t>
      </w:r>
      <w:proofErr w:type="gramStart"/>
      <w:r w:rsidRPr="00696A30">
        <w:rPr>
          <w:rFonts w:eastAsiaTheme="minorEastAsia"/>
          <w:rtl/>
        </w:rPr>
        <w:t>للدولة</w:t>
      </w:r>
      <w:r w:rsidRPr="00696A30">
        <w:rPr>
          <w:rFonts w:eastAsiaTheme="minorEastAsia"/>
          <w:vertAlign w:val="superscript"/>
          <w:rtl/>
        </w:rPr>
        <w:t>(</w:t>
      </w:r>
      <w:proofErr w:type="gramEnd"/>
      <w:r w:rsidRPr="00E841A5">
        <w:rPr>
          <w:rStyle w:val="EndnoteReference"/>
          <w:rFonts w:eastAsiaTheme="minorEastAsia"/>
          <w:lang w:val="en-US"/>
        </w:rPr>
        <w:endnoteReference w:id="118"/>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37ED97D" w14:textId="572EE4D9"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103</w:t>
      </w:r>
      <w:r w:rsidRPr="00696A30">
        <w:rPr>
          <w:rFonts w:eastAsiaTheme="minorEastAsia"/>
          <w:szCs w:val="20"/>
          <w:rtl/>
        </w:rPr>
        <w:t>-</w:t>
      </w:r>
      <w:r w:rsidRPr="00696A30">
        <w:rPr>
          <w:rFonts w:eastAsiaTheme="minorEastAsia"/>
          <w:rtl/>
        </w:rPr>
        <w:tab/>
        <w:t xml:space="preserve">وحثت اللجنة نفسها الدولة على أن تتبع نهجاً قائماً على حقوق الإنسان إزاء الإعاقة، وأن تضع استراتيجية شاملة لإدماج الأطفال ذوي </w:t>
      </w:r>
      <w:proofErr w:type="gramStart"/>
      <w:r w:rsidRPr="00696A30">
        <w:rPr>
          <w:rFonts w:eastAsiaTheme="minorEastAsia"/>
          <w:rtl/>
        </w:rPr>
        <w:t>الإعاقة</w:t>
      </w:r>
      <w:r w:rsidRPr="00696A30">
        <w:rPr>
          <w:rFonts w:eastAsiaTheme="minorEastAsia"/>
          <w:vertAlign w:val="superscript"/>
          <w:rtl/>
        </w:rPr>
        <w:t>(</w:t>
      </w:r>
      <w:proofErr w:type="gramEnd"/>
      <w:r w:rsidRPr="00E841A5">
        <w:rPr>
          <w:rStyle w:val="EndnoteReference"/>
          <w:rFonts w:eastAsiaTheme="minorEastAsia"/>
          <w:lang w:val="en-US"/>
        </w:rPr>
        <w:endnoteReference w:id="119"/>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446A7A0F" w14:textId="1F63A24B"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104</w:t>
      </w:r>
      <w:r w:rsidRPr="00696A30">
        <w:rPr>
          <w:rFonts w:eastAsiaTheme="minorEastAsia"/>
          <w:szCs w:val="20"/>
          <w:rtl/>
        </w:rPr>
        <w:t>-</w:t>
      </w:r>
      <w:r w:rsidRPr="00696A30">
        <w:rPr>
          <w:rFonts w:eastAsiaTheme="minorEastAsia"/>
          <w:rtl/>
        </w:rPr>
        <w:tab/>
        <w:t>وأوصت اللجنة بأن تعزز الدولة جهودها لتنفيذ الإطار التشريعي والسياسات اللازمة لتوفير الحماية الفعالة لحقوق الأطفال ذوي الإعاقة، بما في ذلك اعتماد مشروع قانون التعليم الخاص ومشروع قانون التعليم الابتدائي، فضل</w:t>
      </w:r>
      <w:r w:rsidR="004B1A4F" w:rsidRPr="00696A30">
        <w:rPr>
          <w:rFonts w:eastAsiaTheme="minorEastAsia"/>
          <w:rtl/>
        </w:rPr>
        <w:t xml:space="preserve">اً </w:t>
      </w:r>
      <w:r w:rsidRPr="00696A30">
        <w:rPr>
          <w:rFonts w:eastAsiaTheme="minorEastAsia"/>
          <w:rtl/>
        </w:rPr>
        <w:t xml:space="preserve">عن مشروع السياسة المتعلقة بالأشخاص ذوي </w:t>
      </w:r>
      <w:proofErr w:type="gramStart"/>
      <w:r w:rsidRPr="00696A30">
        <w:rPr>
          <w:rFonts w:eastAsiaTheme="minorEastAsia"/>
          <w:rtl/>
        </w:rPr>
        <w:t>الإعاقة</w:t>
      </w:r>
      <w:r w:rsidRPr="00696A30">
        <w:rPr>
          <w:rFonts w:eastAsiaTheme="minorEastAsia"/>
          <w:vertAlign w:val="superscript"/>
          <w:rtl/>
        </w:rPr>
        <w:t>(</w:t>
      </w:r>
      <w:proofErr w:type="gramEnd"/>
      <w:r w:rsidRPr="00E841A5">
        <w:rPr>
          <w:rStyle w:val="EndnoteReference"/>
          <w:rFonts w:eastAsiaTheme="minorEastAsia"/>
          <w:lang w:val="en-US"/>
        </w:rPr>
        <w:endnoteReference w:id="120"/>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43D96FA2" w14:textId="5889F7EF"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105</w:t>
      </w:r>
      <w:r w:rsidRPr="00696A30">
        <w:rPr>
          <w:rFonts w:eastAsiaTheme="minorEastAsia"/>
          <w:szCs w:val="20"/>
          <w:rtl/>
        </w:rPr>
        <w:t>-</w:t>
      </w:r>
      <w:r w:rsidRPr="00696A30">
        <w:rPr>
          <w:rFonts w:eastAsiaTheme="minorEastAsia"/>
          <w:rtl/>
        </w:rPr>
        <w:tab/>
        <w:t>وأوصت اللجنة أيض</w:t>
      </w:r>
      <w:r w:rsidR="004B1A4F" w:rsidRPr="00696A30">
        <w:rPr>
          <w:rFonts w:eastAsiaTheme="minorEastAsia"/>
          <w:rtl/>
        </w:rPr>
        <w:t xml:space="preserve">اً </w:t>
      </w:r>
      <w:r w:rsidRPr="00696A30">
        <w:rPr>
          <w:rFonts w:eastAsiaTheme="minorEastAsia"/>
          <w:rtl/>
        </w:rPr>
        <w:t>بأن تكفل الدولة توفير التعليم الشامل للجميع، وبأن تكون المدارس ومرافق الرعاية متاحة ومزودة بعدد كاف من الموظفين وممولة تمويل</w:t>
      </w:r>
      <w:r w:rsidR="004B1A4F" w:rsidRPr="00696A30">
        <w:rPr>
          <w:rFonts w:eastAsiaTheme="minorEastAsia"/>
          <w:rtl/>
        </w:rPr>
        <w:t xml:space="preserve">اً </w:t>
      </w:r>
      <w:r w:rsidRPr="00696A30">
        <w:rPr>
          <w:rFonts w:eastAsiaTheme="minorEastAsia"/>
          <w:rtl/>
        </w:rPr>
        <w:t>كافي</w:t>
      </w:r>
      <w:r w:rsidR="004B1A4F" w:rsidRPr="00696A30">
        <w:rPr>
          <w:rFonts w:eastAsiaTheme="minorEastAsia"/>
          <w:rtl/>
        </w:rPr>
        <w:t xml:space="preserve">اً، </w:t>
      </w:r>
      <w:r w:rsidRPr="00696A30">
        <w:rPr>
          <w:rFonts w:eastAsiaTheme="minorEastAsia"/>
          <w:rtl/>
        </w:rPr>
        <w:t xml:space="preserve">وأن تكفل توفير التدريب للمهنيين العاملين مع الأطفال ذوي الإعاقة، مثل المدرسين والأخصائيين الاجتماعيين والعاملين في المجالات الصحية والطبية والعلاجية وفي مجال </w:t>
      </w:r>
      <w:proofErr w:type="gramStart"/>
      <w:r w:rsidRPr="00696A30">
        <w:rPr>
          <w:rFonts w:eastAsiaTheme="minorEastAsia"/>
          <w:rtl/>
        </w:rPr>
        <w:t>الرعاية</w:t>
      </w:r>
      <w:r w:rsidRPr="00696A30">
        <w:rPr>
          <w:rFonts w:eastAsiaTheme="minorEastAsia"/>
          <w:vertAlign w:val="superscript"/>
          <w:rtl/>
        </w:rPr>
        <w:t>(</w:t>
      </w:r>
      <w:proofErr w:type="gramEnd"/>
      <w:r w:rsidRPr="00E841A5">
        <w:rPr>
          <w:rStyle w:val="EndnoteReference"/>
          <w:rFonts w:eastAsiaTheme="minorEastAsia"/>
          <w:lang w:val="en-US"/>
        </w:rPr>
        <w:endnoteReference w:id="121"/>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79C800F" w14:textId="6EDBB589" w:rsidR="00056D32" w:rsidRPr="00696A30" w:rsidRDefault="00056D32" w:rsidP="00056D32">
      <w:pPr>
        <w:pStyle w:val="SingleTxtGA"/>
        <w:rPr>
          <w:rFonts w:eastAsiaTheme="minorEastAsia"/>
          <w:szCs w:val="20"/>
          <w:lang w:val="en-US" w:eastAsia="zh-TW" w:bidi="en-GB"/>
        </w:rPr>
      </w:pPr>
      <w:r w:rsidRPr="00E841A5">
        <w:rPr>
          <w:rFonts w:eastAsiaTheme="minorEastAsia"/>
          <w:szCs w:val="20"/>
          <w:rtl/>
        </w:rPr>
        <w:t>106</w:t>
      </w:r>
      <w:r w:rsidRPr="00696A30">
        <w:rPr>
          <w:rFonts w:eastAsiaTheme="minorEastAsia"/>
          <w:szCs w:val="20"/>
          <w:rtl/>
        </w:rPr>
        <w:t>-</w:t>
      </w:r>
      <w:r w:rsidRPr="00696A30">
        <w:rPr>
          <w:rFonts w:eastAsiaTheme="minorEastAsia"/>
          <w:rtl/>
        </w:rPr>
        <w:tab/>
        <w:t>وأوصت اللجنة الدولة كذلك بالاستعراض الدوري لعملية إيداع الأطفال في مؤسسات الرعاية البديلة، ورصد نوعية هذه الرعاية، بوسائل منها توفير قنوات للإبلاغ والرصد والتصدي لإساءة معاملة</w:t>
      </w:r>
      <w:r w:rsidR="007532BE" w:rsidRPr="00696A30">
        <w:rPr>
          <w:rFonts w:eastAsiaTheme="minorEastAsia" w:hint="eastAsia"/>
          <w:rtl/>
        </w:rPr>
        <w:t> </w:t>
      </w:r>
      <w:proofErr w:type="gramStart"/>
      <w:r w:rsidRPr="00696A30">
        <w:rPr>
          <w:rFonts w:eastAsiaTheme="minorEastAsia"/>
          <w:rtl/>
        </w:rPr>
        <w:t>الأطفال</w:t>
      </w:r>
      <w:r w:rsidRPr="00696A30">
        <w:rPr>
          <w:rFonts w:eastAsiaTheme="minorEastAsia"/>
          <w:vertAlign w:val="superscript"/>
          <w:rtl/>
        </w:rPr>
        <w:t>(</w:t>
      </w:r>
      <w:proofErr w:type="gramEnd"/>
      <w:r w:rsidRPr="00E841A5">
        <w:rPr>
          <w:rStyle w:val="EndnoteReference"/>
          <w:rFonts w:eastAsiaTheme="minorEastAsia"/>
          <w:lang w:val="en-US"/>
        </w:rPr>
        <w:endnoteReference w:id="122"/>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19E969A3" w14:textId="07E04936"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107</w:t>
      </w:r>
      <w:r w:rsidRPr="00696A30">
        <w:rPr>
          <w:rFonts w:eastAsiaTheme="minorEastAsia"/>
          <w:szCs w:val="20"/>
          <w:rtl/>
        </w:rPr>
        <w:t>-</w:t>
      </w:r>
      <w:r w:rsidRPr="00696A30">
        <w:rPr>
          <w:rFonts w:eastAsiaTheme="minorEastAsia"/>
          <w:rtl/>
        </w:rPr>
        <w:tab/>
        <w:t>وأوصت اللجنة أيض</w:t>
      </w:r>
      <w:r w:rsidR="004B1A4F" w:rsidRPr="00696A30">
        <w:rPr>
          <w:rFonts w:eastAsiaTheme="minorEastAsia"/>
          <w:rtl/>
        </w:rPr>
        <w:t xml:space="preserve">اً </w:t>
      </w:r>
      <w:r w:rsidRPr="00696A30">
        <w:rPr>
          <w:rFonts w:eastAsiaTheme="minorEastAsia"/>
          <w:rtl/>
        </w:rPr>
        <w:t>بأن تتخذ الدولة جميع التدابير اللازمة لضمان إدماج الأطفال ذوي الإعاقة إدماج</w:t>
      </w:r>
      <w:r w:rsidR="004B1A4F" w:rsidRPr="00696A30">
        <w:rPr>
          <w:rFonts w:eastAsiaTheme="minorEastAsia"/>
          <w:rtl/>
        </w:rPr>
        <w:t xml:space="preserve">اً </w:t>
      </w:r>
      <w:r w:rsidRPr="00696A30">
        <w:rPr>
          <w:rFonts w:eastAsiaTheme="minorEastAsia"/>
          <w:rtl/>
        </w:rPr>
        <w:t>كامل</w:t>
      </w:r>
      <w:r w:rsidR="004B1A4F" w:rsidRPr="00696A30">
        <w:rPr>
          <w:rFonts w:eastAsiaTheme="minorEastAsia"/>
          <w:rtl/>
        </w:rPr>
        <w:t xml:space="preserve">اً </w:t>
      </w:r>
      <w:r w:rsidRPr="00696A30">
        <w:rPr>
          <w:rFonts w:eastAsiaTheme="minorEastAsia"/>
          <w:rtl/>
        </w:rPr>
        <w:t xml:space="preserve">في جميع مجالات الحياة الاجتماعية، بما في ذلك المدارس، والأنشطة الرياضية والترفيهية، وضمان تيسير وصولهم إلى المرافق والأماكن العامة </w:t>
      </w:r>
      <w:proofErr w:type="gramStart"/>
      <w:r w:rsidRPr="00696A30">
        <w:rPr>
          <w:rFonts w:eastAsiaTheme="minorEastAsia"/>
          <w:rtl/>
        </w:rPr>
        <w:t>الأخرى</w:t>
      </w:r>
      <w:r w:rsidRPr="00696A30">
        <w:rPr>
          <w:rFonts w:eastAsiaTheme="minorEastAsia"/>
          <w:vertAlign w:val="superscript"/>
          <w:rtl/>
        </w:rPr>
        <w:t>(</w:t>
      </w:r>
      <w:proofErr w:type="gramEnd"/>
      <w:r w:rsidRPr="00E841A5">
        <w:rPr>
          <w:rStyle w:val="EndnoteReference"/>
          <w:rFonts w:eastAsiaTheme="minorEastAsia"/>
          <w:lang w:val="en-US"/>
        </w:rPr>
        <w:endnoteReference w:id="123"/>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2A864FCF" w14:textId="32F00378"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108</w:t>
      </w:r>
      <w:r w:rsidRPr="00696A30">
        <w:rPr>
          <w:rFonts w:eastAsiaTheme="minorEastAsia"/>
          <w:szCs w:val="20"/>
          <w:rtl/>
        </w:rPr>
        <w:t>-</w:t>
      </w:r>
      <w:r w:rsidRPr="00F52243">
        <w:rPr>
          <w:rFonts w:eastAsiaTheme="minorEastAsia"/>
          <w:spacing w:val="-4"/>
          <w:rtl/>
        </w:rPr>
        <w:tab/>
        <w:t>وأوصت اللجنة كذلك بأن تنظم الدولة حملات توعية تستهدف المسؤولين الحكوميين وعامة الجمهور</w:t>
      </w:r>
      <w:r w:rsidRPr="00696A30">
        <w:rPr>
          <w:rFonts w:eastAsiaTheme="minorEastAsia"/>
          <w:rtl/>
        </w:rPr>
        <w:t xml:space="preserve"> والأسر من أجل مكافحة الوصم والتحيز ضد الأطفال ذوي الإعاقة</w:t>
      </w:r>
      <w:r w:rsidRPr="00696A30">
        <w:rPr>
          <w:rStyle w:val="EndnoteReference"/>
          <w:rFonts w:eastAsiaTheme="minorEastAsia"/>
          <w:rtl/>
        </w:rPr>
        <w:t>(</w:t>
      </w:r>
      <w:r w:rsidRPr="00E841A5">
        <w:rPr>
          <w:rStyle w:val="EndnoteReference"/>
          <w:rFonts w:eastAsiaTheme="minorEastAsia"/>
          <w:lang w:val="en-US"/>
        </w:rPr>
        <w:endnoteReference w:id="124"/>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7DB07783" w14:textId="7DD02B39" w:rsidR="00056D32" w:rsidRPr="00E841A5" w:rsidRDefault="007532BE" w:rsidP="007532BE">
      <w:pPr>
        <w:pStyle w:val="H23GA"/>
        <w:rPr>
          <w:rFonts w:eastAsiaTheme="minorEastAsia"/>
          <w:szCs w:val="20"/>
          <w:lang w:val="ar-SA" w:eastAsia="zh-TW" w:bidi="en-GB"/>
        </w:rPr>
      </w:pPr>
      <w:r w:rsidRPr="00E841A5">
        <w:rPr>
          <w:rFonts w:eastAsiaTheme="minorEastAsia"/>
          <w:szCs w:val="20"/>
          <w:rtl/>
        </w:rPr>
        <w:tab/>
      </w:r>
      <w:r w:rsidR="00056D32" w:rsidRPr="00E841A5">
        <w:rPr>
          <w:rFonts w:eastAsiaTheme="minorEastAsia"/>
          <w:szCs w:val="20"/>
          <w:rtl/>
        </w:rPr>
        <w:t>4-</w:t>
      </w:r>
      <w:r w:rsidR="00056D32" w:rsidRPr="00E841A5">
        <w:rPr>
          <w:rFonts w:eastAsiaTheme="minorEastAsia"/>
          <w:rtl/>
        </w:rPr>
        <w:tab/>
        <w:t>الشعوب الأصلية</w:t>
      </w:r>
      <w:r w:rsidR="00056D32" w:rsidRPr="00E841A5">
        <w:rPr>
          <w:rStyle w:val="EndnoteReference"/>
          <w:rFonts w:eastAsiaTheme="minorEastAsia"/>
          <w:bCs w:val="0"/>
          <w:rtl/>
        </w:rPr>
        <w:t>(</w:t>
      </w:r>
      <w:r w:rsidR="00056D32" w:rsidRPr="00E841A5">
        <w:rPr>
          <w:rStyle w:val="EndnoteReference"/>
          <w:rFonts w:eastAsiaTheme="minorEastAsia"/>
          <w:bCs w:val="0"/>
          <w:lang w:val="en-US"/>
        </w:rPr>
        <w:endnoteReference w:id="125"/>
      </w:r>
      <w:r w:rsidR="00056D32" w:rsidRPr="00E841A5">
        <w:rPr>
          <w:rStyle w:val="EndnoteReference"/>
          <w:rFonts w:eastAsiaTheme="minorEastAsia"/>
          <w:bCs w:val="0"/>
          <w:rtl/>
        </w:rPr>
        <w:t>)</w:t>
      </w:r>
    </w:p>
    <w:p w14:paraId="75E5C915" w14:textId="41F56EF4" w:rsidR="00056D32" w:rsidRPr="00696A30" w:rsidRDefault="00056D32" w:rsidP="00056D32">
      <w:pPr>
        <w:pStyle w:val="SingleTxtGA"/>
        <w:rPr>
          <w:rFonts w:eastAsiaTheme="minorEastAsia"/>
          <w:szCs w:val="20"/>
          <w:lang w:val="ar-SA" w:eastAsia="zh-TW" w:bidi="en-GB"/>
        </w:rPr>
      </w:pPr>
      <w:r w:rsidRPr="00E841A5">
        <w:rPr>
          <w:rFonts w:eastAsiaTheme="minorEastAsia"/>
          <w:szCs w:val="20"/>
          <w:rtl/>
        </w:rPr>
        <w:t>109</w:t>
      </w:r>
      <w:r w:rsidRPr="00696A30">
        <w:rPr>
          <w:rFonts w:eastAsiaTheme="minorEastAsia"/>
          <w:szCs w:val="20"/>
          <w:rtl/>
        </w:rPr>
        <w:t>-</w:t>
      </w:r>
      <w:r w:rsidRPr="00696A30">
        <w:rPr>
          <w:rFonts w:eastAsiaTheme="minorEastAsia"/>
          <w:rtl/>
        </w:rPr>
        <w:tab/>
        <w:t>ذكر فريق الأمم المتحدة القطري أن السكان الذين يعيشون في المناطق الداخلية من سورينام ما</w:t>
      </w:r>
      <w:r w:rsidR="004B1A4F" w:rsidRPr="00696A30">
        <w:rPr>
          <w:rFonts w:eastAsiaTheme="minorEastAsia" w:hint="cs"/>
          <w:rtl/>
        </w:rPr>
        <w:t> </w:t>
      </w:r>
      <w:r w:rsidRPr="00696A30">
        <w:rPr>
          <w:rFonts w:eastAsiaTheme="minorEastAsia"/>
          <w:rtl/>
        </w:rPr>
        <w:t xml:space="preserve">زالوا يعانون من الآثار السلبية للتعدين على البيئة. وقال إن الشعوب الأصلية والقبلية تشكو باستمرار </w:t>
      </w:r>
      <w:r w:rsidRPr="00F52243">
        <w:rPr>
          <w:rFonts w:eastAsiaTheme="minorEastAsia"/>
          <w:spacing w:val="-4"/>
          <w:rtl/>
        </w:rPr>
        <w:t>من أن الحكومة والقطاع الخاص لا يحترمان حقوقها في الأراضي التي تقع فيها قراها. ولا تزال هناك شكاوى</w:t>
      </w:r>
      <w:r w:rsidRPr="00696A30">
        <w:rPr>
          <w:rFonts w:eastAsiaTheme="minorEastAsia"/>
          <w:rtl/>
        </w:rPr>
        <w:t xml:space="preserve"> </w:t>
      </w:r>
      <w:r w:rsidRPr="00F52243">
        <w:rPr>
          <w:rFonts w:eastAsiaTheme="minorEastAsia"/>
          <w:spacing w:val="-2"/>
          <w:rtl/>
        </w:rPr>
        <w:t>بشأن سماح الحكومة لكيانات القطاع الخاص باستخراج الموارد الطبيعية وقطع الأشجار. ولم تتخذ الحكومة</w:t>
      </w:r>
      <w:r w:rsidRPr="00696A30">
        <w:rPr>
          <w:rFonts w:eastAsiaTheme="minorEastAsia"/>
          <w:rtl/>
        </w:rPr>
        <w:t xml:space="preserve"> بعد خطوات لوضع برنامج رسمي لضمان وحماية حقوق الشعوب الأصلية </w:t>
      </w:r>
      <w:proofErr w:type="gramStart"/>
      <w:r w:rsidRPr="00696A30">
        <w:rPr>
          <w:rFonts w:eastAsiaTheme="minorEastAsia"/>
          <w:rtl/>
        </w:rPr>
        <w:t>والقبلية</w:t>
      </w:r>
      <w:r w:rsidRPr="00696A30">
        <w:rPr>
          <w:rFonts w:eastAsiaTheme="minorEastAsia"/>
          <w:vertAlign w:val="superscript"/>
          <w:rtl/>
        </w:rPr>
        <w:t>(</w:t>
      </w:r>
      <w:proofErr w:type="gramEnd"/>
      <w:r w:rsidRPr="00E841A5">
        <w:rPr>
          <w:rStyle w:val="EndnoteReference"/>
          <w:rFonts w:eastAsiaTheme="minorEastAsia"/>
          <w:lang w:val="en-US"/>
        </w:rPr>
        <w:endnoteReference w:id="126"/>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B602B6F" w14:textId="04F3BB7E" w:rsidR="00056D32" w:rsidRPr="00F52243" w:rsidRDefault="00056D32" w:rsidP="00F52243">
      <w:pPr>
        <w:pStyle w:val="SingleTxtGA"/>
        <w:spacing w:line="350" w:lineRule="exact"/>
        <w:rPr>
          <w:rFonts w:eastAsiaTheme="minorEastAsia"/>
          <w:spacing w:val="-4"/>
          <w:szCs w:val="20"/>
          <w:lang w:val="ar-SA" w:eastAsia="zh-TW" w:bidi="en-GB"/>
        </w:rPr>
      </w:pPr>
      <w:r w:rsidRPr="00E841A5">
        <w:rPr>
          <w:rFonts w:eastAsiaTheme="minorEastAsia"/>
          <w:szCs w:val="20"/>
          <w:rtl/>
        </w:rPr>
        <w:lastRenderedPageBreak/>
        <w:t>110</w:t>
      </w:r>
      <w:r w:rsidRPr="00696A30">
        <w:rPr>
          <w:rFonts w:eastAsiaTheme="minorEastAsia"/>
          <w:szCs w:val="20"/>
          <w:rtl/>
        </w:rPr>
        <w:t>-</w:t>
      </w:r>
      <w:r w:rsidRPr="00696A30">
        <w:rPr>
          <w:rFonts w:eastAsiaTheme="minorEastAsia"/>
          <w:rtl/>
        </w:rPr>
        <w:tab/>
        <w:t xml:space="preserve">وأوصى الفريق القطري بأن تحترم الحكومة وتكفل حقوق الشعوب الأصلية المتصلة بالحفاظ على أراضيها وثقافتها ومواردها، وبأن تعتمد تدابير للحد من الأثر السلبي للتعدين على البيئة وعلى حقوق </w:t>
      </w:r>
      <w:r w:rsidRPr="00F52243">
        <w:rPr>
          <w:rFonts w:eastAsiaTheme="minorEastAsia"/>
          <w:spacing w:val="-2"/>
          <w:rtl/>
        </w:rPr>
        <w:t>الشعوب الأصلية وأراضيها، وذلك بما يتماشى مع المعايير الدولية. وأوصت أيض</w:t>
      </w:r>
      <w:r w:rsidR="004B1A4F" w:rsidRPr="00F52243">
        <w:rPr>
          <w:rFonts w:eastAsiaTheme="minorEastAsia"/>
          <w:spacing w:val="-2"/>
          <w:rtl/>
        </w:rPr>
        <w:t xml:space="preserve">اً </w:t>
      </w:r>
      <w:r w:rsidRPr="00F52243">
        <w:rPr>
          <w:rFonts w:eastAsiaTheme="minorEastAsia"/>
          <w:spacing w:val="-2"/>
          <w:rtl/>
        </w:rPr>
        <w:t>بأن تكفل الحكومة تنفيذ</w:t>
      </w:r>
      <w:r w:rsidR="00F52243">
        <w:rPr>
          <w:rFonts w:eastAsiaTheme="minorEastAsia" w:hint="cs"/>
          <w:rtl/>
        </w:rPr>
        <w:t xml:space="preserve"> </w:t>
      </w:r>
      <w:r w:rsidRPr="00F52243">
        <w:rPr>
          <w:rFonts w:eastAsiaTheme="minorEastAsia"/>
          <w:spacing w:val="-4"/>
          <w:rtl/>
        </w:rPr>
        <w:t xml:space="preserve">أحكام محكمة البلدان الأمريكية لحقوق الإنسان بشأن جماعة </w:t>
      </w:r>
      <w:proofErr w:type="spellStart"/>
      <w:r w:rsidRPr="00F52243">
        <w:rPr>
          <w:rFonts w:eastAsiaTheme="minorEastAsia"/>
          <w:spacing w:val="-4"/>
          <w:rtl/>
        </w:rPr>
        <w:t>مويوانا</w:t>
      </w:r>
      <w:proofErr w:type="spellEnd"/>
      <w:r w:rsidRPr="00F52243">
        <w:rPr>
          <w:rFonts w:eastAsiaTheme="minorEastAsia"/>
          <w:spacing w:val="-4"/>
          <w:rtl/>
        </w:rPr>
        <w:t xml:space="preserve"> وشعب </w:t>
      </w:r>
      <w:proofErr w:type="spellStart"/>
      <w:r w:rsidRPr="00F52243">
        <w:rPr>
          <w:rFonts w:eastAsiaTheme="minorEastAsia"/>
          <w:spacing w:val="-4"/>
          <w:rtl/>
        </w:rPr>
        <w:t>ساراماكا</w:t>
      </w:r>
      <w:proofErr w:type="spellEnd"/>
      <w:r w:rsidRPr="00F52243">
        <w:rPr>
          <w:rFonts w:eastAsiaTheme="minorEastAsia"/>
          <w:spacing w:val="-4"/>
          <w:rtl/>
        </w:rPr>
        <w:t xml:space="preserve"> تنفيذ</w:t>
      </w:r>
      <w:r w:rsidR="004B1A4F" w:rsidRPr="00F52243">
        <w:rPr>
          <w:rFonts w:eastAsiaTheme="minorEastAsia"/>
          <w:spacing w:val="-4"/>
          <w:rtl/>
        </w:rPr>
        <w:t xml:space="preserve">اً </w:t>
      </w:r>
      <w:r w:rsidRPr="00F52243">
        <w:rPr>
          <w:rFonts w:eastAsiaTheme="minorEastAsia"/>
          <w:spacing w:val="-4"/>
          <w:rtl/>
        </w:rPr>
        <w:t>سريع</w:t>
      </w:r>
      <w:r w:rsidR="004B1A4F" w:rsidRPr="00F52243">
        <w:rPr>
          <w:rFonts w:eastAsiaTheme="minorEastAsia"/>
          <w:spacing w:val="-4"/>
          <w:rtl/>
        </w:rPr>
        <w:t>اً</w:t>
      </w:r>
      <w:r w:rsidR="004B1A4F" w:rsidRPr="00F52243">
        <w:rPr>
          <w:rFonts w:eastAsiaTheme="minorEastAsia" w:hint="cs"/>
          <w:spacing w:val="-4"/>
          <w:rtl/>
        </w:rPr>
        <w:t> </w:t>
      </w:r>
      <w:proofErr w:type="gramStart"/>
      <w:r w:rsidRPr="00F52243">
        <w:rPr>
          <w:rFonts w:eastAsiaTheme="minorEastAsia"/>
          <w:spacing w:val="-4"/>
          <w:rtl/>
        </w:rPr>
        <w:t>وكاملا</w:t>
      </w:r>
      <w:r w:rsidR="007532BE" w:rsidRPr="00F52243">
        <w:rPr>
          <w:rFonts w:eastAsiaTheme="minorEastAsia" w:hint="cs"/>
          <w:spacing w:val="-4"/>
          <w:rtl/>
        </w:rPr>
        <w:t>ً</w:t>
      </w:r>
      <w:r w:rsidRPr="00F52243">
        <w:rPr>
          <w:rFonts w:eastAsiaTheme="minorEastAsia"/>
          <w:spacing w:val="-4"/>
          <w:vertAlign w:val="superscript"/>
          <w:rtl/>
        </w:rPr>
        <w:t>(</w:t>
      </w:r>
      <w:proofErr w:type="gramEnd"/>
      <w:r w:rsidRPr="00E841A5">
        <w:rPr>
          <w:rStyle w:val="EndnoteReference"/>
          <w:rFonts w:eastAsiaTheme="minorEastAsia"/>
          <w:spacing w:val="-4"/>
          <w:lang w:val="en-US"/>
        </w:rPr>
        <w:endnoteReference w:id="127"/>
      </w:r>
      <w:r w:rsidR="000E5FB0" w:rsidRPr="00F52243">
        <w:rPr>
          <w:rStyle w:val="EndnoteReference"/>
          <w:rFonts w:eastAsiaTheme="minorEastAsia"/>
          <w:spacing w:val="-4"/>
          <w:rtl/>
        </w:rPr>
        <w:t>)</w:t>
      </w:r>
      <w:r w:rsidR="000E5FB0" w:rsidRPr="00F52243">
        <w:rPr>
          <w:rStyle w:val="EndnoteReference"/>
          <w:rFonts w:eastAsiaTheme="minorEastAsia"/>
          <w:spacing w:val="-4"/>
          <w:vertAlign w:val="baseline"/>
          <w:rtl/>
        </w:rPr>
        <w:t>.</w:t>
      </w:r>
    </w:p>
    <w:p w14:paraId="036EFE18" w14:textId="4564D051" w:rsidR="00056D32" w:rsidRPr="00696A30" w:rsidRDefault="00056D32" w:rsidP="00F52243">
      <w:pPr>
        <w:pStyle w:val="SingleTxtGA"/>
        <w:spacing w:line="350" w:lineRule="exact"/>
        <w:rPr>
          <w:rFonts w:eastAsiaTheme="minorEastAsia"/>
          <w:szCs w:val="20"/>
          <w:lang w:val="ar-SA" w:eastAsia="zh-TW" w:bidi="en-GB"/>
        </w:rPr>
      </w:pPr>
      <w:r w:rsidRPr="00E841A5">
        <w:rPr>
          <w:rFonts w:eastAsiaTheme="minorEastAsia"/>
          <w:szCs w:val="20"/>
          <w:rtl/>
        </w:rPr>
        <w:t>111</w:t>
      </w:r>
      <w:r w:rsidRPr="00696A30">
        <w:rPr>
          <w:rFonts w:eastAsiaTheme="minorEastAsia"/>
          <w:szCs w:val="20"/>
          <w:rtl/>
        </w:rPr>
        <w:t>-</w:t>
      </w:r>
      <w:r w:rsidRPr="00696A30">
        <w:rPr>
          <w:rFonts w:eastAsiaTheme="minorEastAsia"/>
          <w:rtl/>
        </w:rPr>
        <w:tab/>
      </w:r>
      <w:r w:rsidRPr="00F52243">
        <w:rPr>
          <w:rFonts w:eastAsiaTheme="minorEastAsia"/>
          <w:spacing w:val="-4"/>
          <w:rtl/>
        </w:rPr>
        <w:t>وأعربت اللجنة المعنية بالقضاء على التمييز ضد المرأة‏‏ عن قلقها إزاء انتهاكات حقوق نساء الشعوب</w:t>
      </w:r>
      <w:r w:rsidRPr="00696A30">
        <w:rPr>
          <w:rFonts w:eastAsiaTheme="minorEastAsia"/>
          <w:rtl/>
        </w:rPr>
        <w:t xml:space="preserve"> </w:t>
      </w:r>
      <w:r w:rsidRPr="00F52243">
        <w:rPr>
          <w:rFonts w:eastAsiaTheme="minorEastAsia"/>
          <w:spacing w:val="-4"/>
          <w:rtl/>
        </w:rPr>
        <w:t>الأصلية ونساء القبائل في الأراضي، رغم صدور ثلاثة أحكام عن محكمة البلدان الأمريكية لحقوق الإنسان</w:t>
      </w:r>
      <w:r w:rsidRPr="00696A30">
        <w:rPr>
          <w:rFonts w:eastAsiaTheme="minorEastAsia"/>
          <w:rtl/>
        </w:rPr>
        <w:t xml:space="preserve"> في </w:t>
      </w:r>
      <w:r w:rsidRPr="00F52243">
        <w:rPr>
          <w:rFonts w:eastAsiaTheme="minorEastAsia"/>
          <w:spacing w:val="-4"/>
          <w:rtl/>
        </w:rPr>
        <w:t xml:space="preserve">الأعوام </w:t>
      </w:r>
      <w:r w:rsidRPr="00E841A5">
        <w:rPr>
          <w:rFonts w:eastAsiaTheme="minorEastAsia"/>
          <w:spacing w:val="-4"/>
          <w:rtl/>
        </w:rPr>
        <w:t>2005</w:t>
      </w:r>
      <w:r w:rsidRPr="00F52243">
        <w:rPr>
          <w:rFonts w:eastAsiaTheme="minorEastAsia"/>
          <w:spacing w:val="-4"/>
          <w:rtl/>
        </w:rPr>
        <w:t xml:space="preserve"> و</w:t>
      </w:r>
      <w:r w:rsidRPr="00E841A5">
        <w:rPr>
          <w:rFonts w:eastAsiaTheme="minorEastAsia"/>
          <w:spacing w:val="-4"/>
          <w:rtl/>
        </w:rPr>
        <w:t>2007</w:t>
      </w:r>
      <w:r w:rsidRPr="00F52243">
        <w:rPr>
          <w:rFonts w:eastAsiaTheme="minorEastAsia"/>
          <w:spacing w:val="-4"/>
          <w:rtl/>
        </w:rPr>
        <w:t xml:space="preserve"> و</w:t>
      </w:r>
      <w:r w:rsidRPr="00E841A5">
        <w:rPr>
          <w:rFonts w:eastAsiaTheme="minorEastAsia"/>
          <w:spacing w:val="-4"/>
          <w:rtl/>
        </w:rPr>
        <w:t>2015</w:t>
      </w:r>
      <w:r w:rsidRPr="00F52243">
        <w:rPr>
          <w:rFonts w:eastAsiaTheme="minorEastAsia"/>
          <w:spacing w:val="-4"/>
          <w:rtl/>
        </w:rPr>
        <w:t>، قضت بأن الدولة انتهكت حقوق الشعوب الأصلية في الأرض وفي الوصول</w:t>
      </w:r>
      <w:r w:rsidRPr="00696A30">
        <w:rPr>
          <w:rFonts w:eastAsiaTheme="minorEastAsia"/>
          <w:rtl/>
        </w:rPr>
        <w:t xml:space="preserve"> إلى العدالة. وأعربت اللجنة كذلك عن أسفها لاستبعاد النساء الريفيات ونساء المارون والشعوب الأصلية من عمليات صنع القرار، ولا سيما فيما يتعلق باستخدام </w:t>
      </w:r>
      <w:proofErr w:type="gramStart"/>
      <w:r w:rsidRPr="00696A30">
        <w:rPr>
          <w:rFonts w:eastAsiaTheme="minorEastAsia"/>
          <w:rtl/>
        </w:rPr>
        <w:t>الأراضي</w:t>
      </w:r>
      <w:r w:rsidRPr="00696A30">
        <w:rPr>
          <w:rFonts w:eastAsiaTheme="minorEastAsia"/>
          <w:vertAlign w:val="superscript"/>
          <w:rtl/>
        </w:rPr>
        <w:t>(</w:t>
      </w:r>
      <w:proofErr w:type="gramEnd"/>
      <w:r w:rsidRPr="00E841A5">
        <w:rPr>
          <w:rStyle w:val="EndnoteReference"/>
          <w:rFonts w:eastAsiaTheme="minorEastAsia"/>
          <w:lang w:val="en-US"/>
        </w:rPr>
        <w:endnoteReference w:id="128"/>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4169E1B" w14:textId="1B66986E" w:rsidR="00056D32" w:rsidRPr="00E841A5" w:rsidRDefault="007532BE" w:rsidP="007532BE">
      <w:pPr>
        <w:pStyle w:val="H23GA"/>
        <w:rPr>
          <w:rFonts w:eastAsiaTheme="minorEastAsia"/>
          <w:szCs w:val="20"/>
          <w:lang w:val="ar-SA" w:eastAsia="zh-TW" w:bidi="en-GB"/>
        </w:rPr>
      </w:pPr>
      <w:r w:rsidRPr="00E841A5">
        <w:rPr>
          <w:rFonts w:eastAsiaTheme="minorEastAsia"/>
          <w:szCs w:val="20"/>
          <w:rtl/>
        </w:rPr>
        <w:tab/>
      </w:r>
      <w:r w:rsidR="00056D32" w:rsidRPr="00E841A5">
        <w:rPr>
          <w:rFonts w:eastAsiaTheme="minorEastAsia"/>
          <w:szCs w:val="20"/>
          <w:rtl/>
        </w:rPr>
        <w:t>5-</w:t>
      </w:r>
      <w:r w:rsidR="00056D32" w:rsidRPr="00E841A5">
        <w:rPr>
          <w:rFonts w:eastAsiaTheme="minorEastAsia"/>
          <w:rtl/>
        </w:rPr>
        <w:tab/>
        <w:t>اللاجئون وملتمسو اللجوء</w:t>
      </w:r>
    </w:p>
    <w:p w14:paraId="02BC6547" w14:textId="6C7CE0B5" w:rsidR="00056D32" w:rsidRPr="00696A30" w:rsidRDefault="00056D32" w:rsidP="00F52243">
      <w:pPr>
        <w:pStyle w:val="SingleTxtGA"/>
        <w:spacing w:line="350" w:lineRule="exact"/>
        <w:rPr>
          <w:rFonts w:eastAsiaTheme="minorEastAsia"/>
          <w:szCs w:val="20"/>
          <w:lang w:val="ar-SA" w:eastAsia="zh-TW" w:bidi="en-GB"/>
        </w:rPr>
      </w:pPr>
      <w:r w:rsidRPr="00E841A5">
        <w:rPr>
          <w:rFonts w:eastAsiaTheme="minorEastAsia"/>
          <w:szCs w:val="20"/>
          <w:rtl/>
        </w:rPr>
        <w:t>112</w:t>
      </w:r>
      <w:r w:rsidRPr="00696A30">
        <w:rPr>
          <w:rFonts w:eastAsiaTheme="minorEastAsia"/>
          <w:szCs w:val="20"/>
          <w:rtl/>
        </w:rPr>
        <w:t>-</w:t>
      </w:r>
      <w:r w:rsidRPr="00696A30">
        <w:rPr>
          <w:rFonts w:eastAsiaTheme="minorEastAsia"/>
          <w:rtl/>
        </w:rPr>
        <w:tab/>
        <w:t xml:space="preserve">لاحظت اللجنة المعنية بالقضاء على التمييز ضد المرأة‏‏ أن الدولة شهدت زيادة حادة في عدد </w:t>
      </w:r>
      <w:r w:rsidRPr="00F52243">
        <w:rPr>
          <w:rFonts w:eastAsiaTheme="minorEastAsia"/>
          <w:spacing w:val="-4"/>
          <w:rtl/>
        </w:rPr>
        <w:t xml:space="preserve">طالبي اللجوء المسجلين عامي </w:t>
      </w:r>
      <w:r w:rsidRPr="00E841A5">
        <w:rPr>
          <w:rFonts w:eastAsiaTheme="minorEastAsia"/>
          <w:spacing w:val="-4"/>
          <w:rtl/>
        </w:rPr>
        <w:t>2016</w:t>
      </w:r>
      <w:r w:rsidRPr="00F52243">
        <w:rPr>
          <w:rFonts w:eastAsiaTheme="minorEastAsia"/>
          <w:spacing w:val="-4"/>
          <w:rtl/>
        </w:rPr>
        <w:t xml:space="preserve"> و</w:t>
      </w:r>
      <w:r w:rsidRPr="00E841A5">
        <w:rPr>
          <w:rFonts w:eastAsiaTheme="minorEastAsia"/>
          <w:spacing w:val="-4"/>
          <w:rtl/>
        </w:rPr>
        <w:t>2017</w:t>
      </w:r>
      <w:r w:rsidRPr="00F52243">
        <w:rPr>
          <w:rFonts w:eastAsiaTheme="minorEastAsia"/>
          <w:spacing w:val="-4"/>
          <w:rtl/>
        </w:rPr>
        <w:t>، وأعربت عن قلقها إزاء عدم وجود سياسة وطنية تحكم إجراءات</w:t>
      </w:r>
      <w:r w:rsidRPr="00696A30">
        <w:rPr>
          <w:rFonts w:eastAsiaTheme="minorEastAsia"/>
          <w:rtl/>
        </w:rPr>
        <w:t xml:space="preserve"> حماية اللاجئين أو اللجوء في الدولة، فضل</w:t>
      </w:r>
      <w:r w:rsidR="004B1A4F" w:rsidRPr="00696A30">
        <w:rPr>
          <w:rFonts w:eastAsiaTheme="minorEastAsia"/>
          <w:rtl/>
        </w:rPr>
        <w:t xml:space="preserve">اً </w:t>
      </w:r>
      <w:r w:rsidRPr="00696A30">
        <w:rPr>
          <w:rFonts w:eastAsiaTheme="minorEastAsia"/>
          <w:rtl/>
        </w:rPr>
        <w:t xml:space="preserve">عن عدم وجود تدابير حماية طويلة الأجل للنساء اللاجئات وطالبات اللجوء ضحايا الاتجار أو العنف </w:t>
      </w:r>
      <w:proofErr w:type="gramStart"/>
      <w:r w:rsidRPr="00696A30">
        <w:rPr>
          <w:rFonts w:eastAsiaTheme="minorEastAsia"/>
          <w:rtl/>
        </w:rPr>
        <w:t>الجنساني</w:t>
      </w:r>
      <w:r w:rsidRPr="00696A30">
        <w:rPr>
          <w:rFonts w:eastAsiaTheme="minorEastAsia"/>
          <w:vertAlign w:val="superscript"/>
          <w:rtl/>
        </w:rPr>
        <w:t>(</w:t>
      </w:r>
      <w:proofErr w:type="gramEnd"/>
      <w:r w:rsidRPr="00E841A5">
        <w:rPr>
          <w:rStyle w:val="EndnoteReference"/>
          <w:rFonts w:eastAsiaTheme="minorEastAsia"/>
          <w:lang w:val="en-US"/>
        </w:rPr>
        <w:endnoteReference w:id="129"/>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108604C0" w14:textId="78E8543F" w:rsidR="00056D32" w:rsidRPr="00696A30" w:rsidRDefault="00056D32" w:rsidP="00F52243">
      <w:pPr>
        <w:pStyle w:val="SingleTxtGA"/>
        <w:spacing w:line="350" w:lineRule="exact"/>
        <w:rPr>
          <w:rFonts w:eastAsiaTheme="minorEastAsia"/>
          <w:szCs w:val="20"/>
          <w:lang w:val="ar-SA" w:eastAsia="zh-TW" w:bidi="en-GB"/>
        </w:rPr>
      </w:pPr>
      <w:r w:rsidRPr="00E841A5">
        <w:rPr>
          <w:rFonts w:eastAsiaTheme="minorEastAsia"/>
          <w:szCs w:val="20"/>
          <w:rtl/>
        </w:rPr>
        <w:t>113</w:t>
      </w:r>
      <w:r w:rsidRPr="00696A30">
        <w:rPr>
          <w:rFonts w:eastAsiaTheme="minorEastAsia"/>
          <w:szCs w:val="20"/>
          <w:rtl/>
        </w:rPr>
        <w:t>-</w:t>
      </w:r>
      <w:r w:rsidRPr="00696A30">
        <w:rPr>
          <w:rFonts w:eastAsiaTheme="minorEastAsia"/>
          <w:rtl/>
        </w:rPr>
        <w:tab/>
        <w:t xml:space="preserve">وأوصت مفوضية شؤون اللاجئين بأن تضع الحكومة تشريعات خاصة باللاجئين وتسنها وتنفذها بما يتفق مع المعايير الدولية، على أن تشمل إجراءات عادلة وفعالة لتحديد وضع اللاجئ، وضمان حقوق جميع اللاجئين المعترف بهم في </w:t>
      </w:r>
      <w:proofErr w:type="gramStart"/>
      <w:r w:rsidRPr="00696A30">
        <w:rPr>
          <w:rFonts w:eastAsiaTheme="minorEastAsia"/>
          <w:rtl/>
        </w:rPr>
        <w:t>سورينام</w:t>
      </w:r>
      <w:r w:rsidRPr="00696A30">
        <w:rPr>
          <w:rFonts w:eastAsiaTheme="minorEastAsia"/>
          <w:vertAlign w:val="superscript"/>
          <w:rtl/>
        </w:rPr>
        <w:t>(</w:t>
      </w:r>
      <w:proofErr w:type="gramEnd"/>
      <w:r w:rsidRPr="00E841A5">
        <w:rPr>
          <w:rStyle w:val="EndnoteReference"/>
          <w:rFonts w:eastAsiaTheme="minorEastAsia"/>
          <w:lang w:val="en-US"/>
        </w:rPr>
        <w:endnoteReference w:id="130"/>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0070F6D3" w14:textId="6835E083" w:rsidR="00056D32" w:rsidRPr="00696A30" w:rsidRDefault="00056D32" w:rsidP="00F52243">
      <w:pPr>
        <w:pStyle w:val="SingleTxtGA"/>
        <w:spacing w:line="350" w:lineRule="exact"/>
        <w:rPr>
          <w:rFonts w:eastAsiaTheme="minorEastAsia"/>
          <w:szCs w:val="20"/>
          <w:lang w:val="ar-SA" w:eastAsia="zh-TW" w:bidi="en-GB"/>
        </w:rPr>
      </w:pPr>
      <w:r w:rsidRPr="00E841A5">
        <w:rPr>
          <w:rFonts w:eastAsiaTheme="minorEastAsia"/>
          <w:szCs w:val="20"/>
          <w:rtl/>
        </w:rPr>
        <w:t>114</w:t>
      </w:r>
      <w:r w:rsidRPr="00696A30">
        <w:rPr>
          <w:rFonts w:eastAsiaTheme="minorEastAsia"/>
          <w:szCs w:val="20"/>
          <w:rtl/>
        </w:rPr>
        <w:t>-</w:t>
      </w:r>
      <w:r w:rsidRPr="00696A30">
        <w:rPr>
          <w:rFonts w:eastAsiaTheme="minorEastAsia"/>
          <w:rtl/>
        </w:rPr>
        <w:tab/>
        <w:t>وأوصت المفوضية أيض</w:t>
      </w:r>
      <w:r w:rsidR="004B1A4F" w:rsidRPr="00696A30">
        <w:rPr>
          <w:rFonts w:eastAsiaTheme="minorEastAsia"/>
          <w:rtl/>
        </w:rPr>
        <w:t xml:space="preserve">اً </w:t>
      </w:r>
      <w:r w:rsidRPr="00696A30">
        <w:rPr>
          <w:rFonts w:eastAsiaTheme="minorEastAsia"/>
          <w:rtl/>
        </w:rPr>
        <w:t xml:space="preserve">بأن تستعرض الحكومة التشريعات الوطنية وتتخذ الخطوات اللازمة لمواءمة التشريعات الوطنية مع اتفاقية الأمم المتحدة لعام </w:t>
      </w:r>
      <w:r w:rsidRPr="00E841A5">
        <w:rPr>
          <w:rFonts w:eastAsiaTheme="minorEastAsia"/>
          <w:szCs w:val="20"/>
          <w:rtl/>
        </w:rPr>
        <w:t>1951</w:t>
      </w:r>
      <w:r w:rsidRPr="00696A30">
        <w:rPr>
          <w:rFonts w:eastAsiaTheme="minorEastAsia"/>
          <w:rtl/>
        </w:rPr>
        <w:t xml:space="preserve"> الخاصة بوضع اللاجئين</w:t>
      </w:r>
      <w:r w:rsidRPr="00696A30">
        <w:rPr>
          <w:rStyle w:val="EndnoteReference"/>
          <w:rFonts w:eastAsiaTheme="minorEastAsia"/>
          <w:rtl/>
        </w:rPr>
        <w:t>(</w:t>
      </w:r>
      <w:r w:rsidRPr="00E841A5">
        <w:rPr>
          <w:rStyle w:val="EndnoteReference"/>
          <w:rFonts w:eastAsiaTheme="minorEastAsia"/>
          <w:lang w:val="en-US"/>
        </w:rPr>
        <w:endnoteReference w:id="131"/>
      </w:r>
      <w:r w:rsidRPr="00696A30">
        <w:rPr>
          <w:rStyle w:val="EndnoteReference"/>
          <w:rFonts w:eastAsiaTheme="minorEastAsia"/>
          <w:rtl/>
        </w:rPr>
        <w:t>)</w:t>
      </w:r>
      <w:r w:rsidRPr="00696A30">
        <w:rPr>
          <w:rFonts w:eastAsiaTheme="minorEastAsia"/>
          <w:rtl/>
        </w:rPr>
        <w:t>.</w:t>
      </w:r>
    </w:p>
    <w:p w14:paraId="08B9A232" w14:textId="690C1246" w:rsidR="00056D32" w:rsidRPr="00696A30" w:rsidRDefault="00056D32" w:rsidP="00F52243">
      <w:pPr>
        <w:pStyle w:val="SingleTxtGA"/>
        <w:spacing w:line="350" w:lineRule="exact"/>
        <w:rPr>
          <w:rFonts w:eastAsiaTheme="minorEastAsia"/>
          <w:szCs w:val="20"/>
          <w:lang w:val="ar-SA" w:eastAsia="zh-TW" w:bidi="en-GB"/>
        </w:rPr>
      </w:pPr>
      <w:r w:rsidRPr="00E841A5">
        <w:rPr>
          <w:rFonts w:eastAsiaTheme="minorEastAsia"/>
          <w:szCs w:val="20"/>
          <w:rtl/>
        </w:rPr>
        <w:t>115</w:t>
      </w:r>
      <w:r w:rsidRPr="00696A30">
        <w:rPr>
          <w:rFonts w:eastAsiaTheme="minorEastAsia"/>
          <w:szCs w:val="20"/>
          <w:rtl/>
        </w:rPr>
        <w:t>-</w:t>
      </w:r>
      <w:r w:rsidRPr="00696A30">
        <w:rPr>
          <w:rFonts w:eastAsiaTheme="minorEastAsia"/>
          <w:rtl/>
        </w:rPr>
        <w:tab/>
        <w:t xml:space="preserve">وأوصت المفوضية حكومة سورينام بتيسير الوصول إلى إجراءات منح اللجوء للأشخاص الذي أعربوا عن مخاوفهم من العودة إلى بلدهم الأصلي، والتمسك بمبدأ عدم الإعادة القسرية لجميع الأشخاص الذين يحتاجون إلى حماية </w:t>
      </w:r>
      <w:proofErr w:type="gramStart"/>
      <w:r w:rsidRPr="00696A30">
        <w:rPr>
          <w:rFonts w:eastAsiaTheme="minorEastAsia"/>
          <w:rtl/>
        </w:rPr>
        <w:t>دولية</w:t>
      </w:r>
      <w:r w:rsidRPr="00696A30">
        <w:rPr>
          <w:rFonts w:eastAsiaTheme="minorEastAsia"/>
          <w:vertAlign w:val="superscript"/>
          <w:rtl/>
        </w:rPr>
        <w:t>(</w:t>
      </w:r>
      <w:proofErr w:type="gramEnd"/>
      <w:r w:rsidRPr="00E841A5">
        <w:rPr>
          <w:rStyle w:val="EndnoteReference"/>
          <w:rFonts w:eastAsiaTheme="minorEastAsia"/>
          <w:lang w:val="en-US"/>
        </w:rPr>
        <w:endnoteReference w:id="132"/>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54900BB7" w14:textId="0695BA8D" w:rsidR="00056D32" w:rsidRPr="00696A30" w:rsidRDefault="00056D32" w:rsidP="00F52243">
      <w:pPr>
        <w:pStyle w:val="SingleTxtGA"/>
        <w:spacing w:line="350" w:lineRule="exact"/>
        <w:rPr>
          <w:rFonts w:eastAsiaTheme="minorEastAsia"/>
          <w:szCs w:val="20"/>
          <w:lang w:val="ar-SA" w:eastAsia="zh-TW" w:bidi="en-GB"/>
        </w:rPr>
      </w:pPr>
      <w:r w:rsidRPr="00E841A5">
        <w:rPr>
          <w:rFonts w:eastAsiaTheme="minorEastAsia"/>
          <w:szCs w:val="20"/>
          <w:rtl/>
        </w:rPr>
        <w:t>116</w:t>
      </w:r>
      <w:r w:rsidRPr="00696A30">
        <w:rPr>
          <w:rFonts w:eastAsiaTheme="minorEastAsia"/>
          <w:szCs w:val="20"/>
          <w:rtl/>
        </w:rPr>
        <w:t>-</w:t>
      </w:r>
      <w:r w:rsidRPr="00696A30">
        <w:rPr>
          <w:rFonts w:eastAsiaTheme="minorEastAsia"/>
          <w:rtl/>
        </w:rPr>
        <w:tab/>
        <w:t>وأوصت المفوضية أيض</w:t>
      </w:r>
      <w:r w:rsidR="004B1A4F" w:rsidRPr="00696A30">
        <w:rPr>
          <w:rFonts w:eastAsiaTheme="minorEastAsia"/>
          <w:rtl/>
        </w:rPr>
        <w:t xml:space="preserve">اً </w:t>
      </w:r>
      <w:r w:rsidRPr="00696A30">
        <w:rPr>
          <w:rFonts w:eastAsiaTheme="minorEastAsia"/>
          <w:rtl/>
        </w:rPr>
        <w:t>بأن تعزز الحكومة جهودها لتحديد احتياجات الحماية الدولية لضحايا الاتجار، وتيسير الوصول إلى إجراءات اللجوء من خلال آلية إحالة، عند نقاط الدخول، وفي مرافق</w:t>
      </w:r>
      <w:r w:rsidR="007532BE" w:rsidRPr="00696A30">
        <w:rPr>
          <w:rFonts w:eastAsiaTheme="minorEastAsia" w:hint="cs"/>
          <w:rtl/>
        </w:rPr>
        <w:t> </w:t>
      </w:r>
      <w:proofErr w:type="gramStart"/>
      <w:r w:rsidRPr="00696A30">
        <w:rPr>
          <w:rFonts w:eastAsiaTheme="minorEastAsia"/>
          <w:rtl/>
        </w:rPr>
        <w:t>الاحتجاز</w:t>
      </w:r>
      <w:r w:rsidRPr="00696A30">
        <w:rPr>
          <w:rFonts w:eastAsiaTheme="minorEastAsia"/>
          <w:vertAlign w:val="superscript"/>
          <w:rtl/>
        </w:rPr>
        <w:t>(</w:t>
      </w:r>
      <w:proofErr w:type="gramEnd"/>
      <w:r w:rsidRPr="00E841A5">
        <w:rPr>
          <w:rStyle w:val="EndnoteReference"/>
          <w:rFonts w:eastAsiaTheme="minorEastAsia"/>
          <w:lang w:val="en-US"/>
        </w:rPr>
        <w:endnoteReference w:id="133"/>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351E4FA0" w14:textId="59ADA4BB" w:rsidR="00056D32" w:rsidRPr="00696A30" w:rsidRDefault="00056D32" w:rsidP="00F52243">
      <w:pPr>
        <w:pStyle w:val="SingleTxtGA"/>
        <w:spacing w:line="350" w:lineRule="exact"/>
        <w:rPr>
          <w:rFonts w:eastAsiaTheme="minorEastAsia"/>
          <w:szCs w:val="20"/>
          <w:lang w:val="ar-SA" w:eastAsia="zh-TW" w:bidi="en-GB"/>
        </w:rPr>
      </w:pPr>
      <w:r w:rsidRPr="00E841A5">
        <w:rPr>
          <w:rFonts w:eastAsiaTheme="minorEastAsia"/>
          <w:szCs w:val="20"/>
          <w:rtl/>
        </w:rPr>
        <w:t>117</w:t>
      </w:r>
      <w:r w:rsidRPr="00696A30">
        <w:rPr>
          <w:rFonts w:eastAsiaTheme="minorEastAsia"/>
          <w:szCs w:val="20"/>
          <w:rtl/>
        </w:rPr>
        <w:t>-</w:t>
      </w:r>
      <w:r w:rsidRPr="00696A30">
        <w:rPr>
          <w:rFonts w:eastAsiaTheme="minorEastAsia"/>
          <w:rtl/>
        </w:rPr>
        <w:tab/>
        <w:t xml:space="preserve">وأوصت كذلك بأن تكفل الحكومة إصدار الوثائق أو بطاقات الهوية الأخرى </w:t>
      </w:r>
      <w:proofErr w:type="gramStart"/>
      <w:r w:rsidRPr="00696A30">
        <w:rPr>
          <w:rFonts w:eastAsiaTheme="minorEastAsia"/>
          <w:rtl/>
        </w:rPr>
        <w:t>للاجئين</w:t>
      </w:r>
      <w:r w:rsidRPr="00696A30">
        <w:rPr>
          <w:rFonts w:eastAsiaTheme="minorEastAsia"/>
          <w:vertAlign w:val="superscript"/>
          <w:rtl/>
        </w:rPr>
        <w:t>(</w:t>
      </w:r>
      <w:proofErr w:type="gramEnd"/>
      <w:r w:rsidRPr="00E841A5">
        <w:rPr>
          <w:rStyle w:val="EndnoteReference"/>
          <w:rFonts w:eastAsiaTheme="minorEastAsia"/>
          <w:lang w:val="en-US"/>
        </w:rPr>
        <w:endnoteReference w:id="134"/>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66E16AB7" w14:textId="6116D836" w:rsidR="00056D32" w:rsidRPr="00696A30" w:rsidRDefault="00056D32" w:rsidP="00F52243">
      <w:pPr>
        <w:pStyle w:val="SingleTxtGA"/>
        <w:spacing w:line="350" w:lineRule="exact"/>
        <w:rPr>
          <w:rFonts w:eastAsiaTheme="minorEastAsia"/>
          <w:spacing w:val="-4"/>
          <w:szCs w:val="20"/>
          <w:lang w:val="ar-SA" w:eastAsia="zh-TW" w:bidi="en-GB"/>
        </w:rPr>
      </w:pPr>
      <w:r w:rsidRPr="00E841A5">
        <w:rPr>
          <w:rFonts w:eastAsiaTheme="minorEastAsia"/>
          <w:spacing w:val="-4"/>
          <w:szCs w:val="20"/>
          <w:rtl/>
        </w:rPr>
        <w:t>118</w:t>
      </w:r>
      <w:r w:rsidRPr="00696A30">
        <w:rPr>
          <w:rFonts w:eastAsiaTheme="minorEastAsia"/>
          <w:spacing w:val="-4"/>
          <w:szCs w:val="20"/>
          <w:rtl/>
        </w:rPr>
        <w:t>-</w:t>
      </w:r>
      <w:r w:rsidRPr="00696A30">
        <w:rPr>
          <w:rFonts w:eastAsiaTheme="minorEastAsia"/>
          <w:spacing w:val="-4"/>
          <w:rtl/>
        </w:rPr>
        <w:tab/>
        <w:t>وأعربت اللجنة المعنية بالقضاء على التمييز ضد المرأة عن قلقها لأن اللاجئات وطالبات اللجوء في الدولة يواجهن صعوبات في الحصول على التعليم والصحة والعمل وفرص توليد الدخل والخدمات</w:t>
      </w:r>
      <w:r w:rsidR="00F140AA" w:rsidRPr="00696A30">
        <w:rPr>
          <w:rFonts w:eastAsiaTheme="minorEastAsia" w:hint="cs"/>
          <w:spacing w:val="-4"/>
          <w:rtl/>
        </w:rPr>
        <w:t xml:space="preserve"> </w:t>
      </w:r>
      <w:proofErr w:type="gramStart"/>
      <w:r w:rsidRPr="00696A30">
        <w:rPr>
          <w:rFonts w:eastAsiaTheme="minorEastAsia"/>
          <w:spacing w:val="-4"/>
          <w:rtl/>
        </w:rPr>
        <w:t>المالية</w:t>
      </w:r>
      <w:r w:rsidRPr="00696A30">
        <w:rPr>
          <w:rFonts w:eastAsiaTheme="minorEastAsia"/>
          <w:spacing w:val="-4"/>
          <w:vertAlign w:val="superscript"/>
          <w:rtl/>
        </w:rPr>
        <w:t>(</w:t>
      </w:r>
      <w:proofErr w:type="gramEnd"/>
      <w:r w:rsidRPr="00E841A5">
        <w:rPr>
          <w:rStyle w:val="EndnoteReference"/>
          <w:rFonts w:eastAsiaTheme="minorEastAsia"/>
          <w:spacing w:val="-4"/>
          <w:lang w:val="en-US"/>
        </w:rPr>
        <w:endnoteReference w:id="135"/>
      </w:r>
      <w:r w:rsidR="000E5FB0" w:rsidRPr="00696A30">
        <w:rPr>
          <w:rStyle w:val="EndnoteReference"/>
          <w:rFonts w:eastAsiaTheme="minorEastAsia"/>
          <w:spacing w:val="-4"/>
          <w:rtl/>
        </w:rPr>
        <w:t>)</w:t>
      </w:r>
      <w:r w:rsidR="000E5FB0" w:rsidRPr="00696A30">
        <w:rPr>
          <w:rStyle w:val="EndnoteReference"/>
          <w:rFonts w:eastAsiaTheme="minorEastAsia"/>
          <w:spacing w:val="-4"/>
          <w:vertAlign w:val="baseline"/>
          <w:rtl/>
        </w:rPr>
        <w:t>.</w:t>
      </w:r>
    </w:p>
    <w:p w14:paraId="70C7D428" w14:textId="52E2B3D4" w:rsidR="00056D32" w:rsidRPr="00E841A5" w:rsidRDefault="007532BE" w:rsidP="007532BE">
      <w:pPr>
        <w:pStyle w:val="H23GA"/>
        <w:rPr>
          <w:rFonts w:eastAsiaTheme="minorEastAsia"/>
          <w:szCs w:val="20"/>
          <w:lang w:val="ar-SA" w:eastAsia="zh-TW" w:bidi="en-GB"/>
        </w:rPr>
      </w:pPr>
      <w:r w:rsidRPr="00E841A5">
        <w:rPr>
          <w:rFonts w:eastAsiaTheme="minorEastAsia"/>
          <w:szCs w:val="20"/>
          <w:rtl/>
        </w:rPr>
        <w:tab/>
      </w:r>
      <w:r w:rsidR="00056D32" w:rsidRPr="00E841A5">
        <w:rPr>
          <w:rFonts w:eastAsiaTheme="minorEastAsia"/>
          <w:szCs w:val="20"/>
          <w:rtl/>
        </w:rPr>
        <w:t>6-</w:t>
      </w:r>
      <w:r w:rsidR="00056D32" w:rsidRPr="00E841A5">
        <w:rPr>
          <w:rFonts w:eastAsiaTheme="minorEastAsia"/>
          <w:rtl/>
        </w:rPr>
        <w:tab/>
        <w:t>عديمو الجنسية</w:t>
      </w:r>
    </w:p>
    <w:p w14:paraId="3D22EF07" w14:textId="0FAB72EE" w:rsidR="00056D32" w:rsidRPr="00696A30" w:rsidRDefault="00056D32" w:rsidP="00F52243">
      <w:pPr>
        <w:pStyle w:val="SingleTxtGA"/>
        <w:spacing w:line="350" w:lineRule="exact"/>
        <w:rPr>
          <w:rFonts w:eastAsiaTheme="minorEastAsia"/>
          <w:szCs w:val="20"/>
          <w:lang w:val="ar-SA" w:eastAsia="zh-TW" w:bidi="en-GB"/>
        </w:rPr>
      </w:pPr>
      <w:r w:rsidRPr="00E841A5">
        <w:rPr>
          <w:rFonts w:eastAsiaTheme="minorEastAsia"/>
          <w:szCs w:val="20"/>
          <w:rtl/>
        </w:rPr>
        <w:t>119</w:t>
      </w:r>
      <w:r w:rsidRPr="00696A30">
        <w:rPr>
          <w:rFonts w:eastAsiaTheme="minorEastAsia"/>
          <w:szCs w:val="20"/>
          <w:rtl/>
        </w:rPr>
        <w:t>-</w:t>
      </w:r>
      <w:r w:rsidRPr="00696A30">
        <w:rPr>
          <w:rFonts w:eastAsiaTheme="minorEastAsia"/>
          <w:rtl/>
        </w:rPr>
        <w:tab/>
        <w:t>أوصت مفوضية شؤون اللاجئين بأن تضع الحكومة إجراءات لتحديد حالة انعدام الجنسية</w:t>
      </w:r>
      <w:r w:rsidRPr="00696A30">
        <w:rPr>
          <w:rStyle w:val="EndnoteReference"/>
          <w:rFonts w:eastAsiaTheme="minorEastAsia"/>
          <w:rtl/>
        </w:rPr>
        <w:t>(</w:t>
      </w:r>
      <w:r w:rsidRPr="00E841A5">
        <w:rPr>
          <w:rStyle w:val="EndnoteReference"/>
          <w:rFonts w:eastAsiaTheme="minorEastAsia"/>
          <w:lang w:val="en-US"/>
        </w:rPr>
        <w:endnoteReference w:id="136"/>
      </w:r>
      <w:r w:rsidRPr="00696A30">
        <w:rPr>
          <w:rStyle w:val="EndnoteReference"/>
          <w:rFonts w:eastAsiaTheme="minorEastAsia"/>
          <w:rtl/>
        </w:rPr>
        <w:t>)</w:t>
      </w:r>
      <w:r w:rsidRPr="00696A30">
        <w:rPr>
          <w:rFonts w:eastAsiaTheme="minorEastAsia"/>
          <w:rtl/>
        </w:rPr>
        <w:t>.</w:t>
      </w:r>
    </w:p>
    <w:p w14:paraId="0038B9FC" w14:textId="3E1682DB" w:rsidR="00056D32" w:rsidRPr="00696A30" w:rsidRDefault="00056D32" w:rsidP="00F52243">
      <w:pPr>
        <w:pStyle w:val="SingleTxtGA"/>
        <w:spacing w:line="350" w:lineRule="exact"/>
        <w:rPr>
          <w:rFonts w:eastAsiaTheme="minorEastAsia"/>
          <w:szCs w:val="20"/>
          <w:lang w:val="ar-SA" w:eastAsia="zh-TW" w:bidi="en-GB"/>
        </w:rPr>
      </w:pPr>
      <w:r w:rsidRPr="00E841A5">
        <w:rPr>
          <w:rFonts w:eastAsiaTheme="minorEastAsia"/>
          <w:szCs w:val="20"/>
          <w:rtl/>
        </w:rPr>
        <w:t>120</w:t>
      </w:r>
      <w:r w:rsidRPr="00696A30">
        <w:rPr>
          <w:rFonts w:eastAsiaTheme="minorEastAsia"/>
          <w:szCs w:val="20"/>
          <w:rtl/>
        </w:rPr>
        <w:t>-</w:t>
      </w:r>
      <w:r w:rsidRPr="00696A30">
        <w:rPr>
          <w:rFonts w:eastAsiaTheme="minorEastAsia"/>
          <w:rtl/>
        </w:rPr>
        <w:tab/>
        <w:t xml:space="preserve">وأوصت لجنة حقوق الطفل بأن تواصل الدولة تعزيز جهودها لضمان تسجيل جميع الأطفال المولودين في أراضيها وتزويدهم بشهادات ميلاد رسمية، بسبل منها تبسيط تسجيل المواليد في المناطق الداخلية للدولة من خلال جملة أمور بينها مكاتب التسجيل المحلية والوحدات المتنقلة وبرامج </w:t>
      </w:r>
      <w:proofErr w:type="gramStart"/>
      <w:r w:rsidRPr="00696A30">
        <w:rPr>
          <w:rFonts w:eastAsiaTheme="minorEastAsia"/>
          <w:rtl/>
        </w:rPr>
        <w:t>التوعية</w:t>
      </w:r>
      <w:r w:rsidRPr="00696A30">
        <w:rPr>
          <w:rFonts w:eastAsiaTheme="minorEastAsia"/>
          <w:vertAlign w:val="superscript"/>
          <w:rtl/>
        </w:rPr>
        <w:t>(</w:t>
      </w:r>
      <w:proofErr w:type="gramEnd"/>
      <w:r w:rsidRPr="00E841A5">
        <w:rPr>
          <w:rStyle w:val="EndnoteReference"/>
          <w:rFonts w:eastAsiaTheme="minorEastAsia"/>
          <w:lang w:val="en-US"/>
        </w:rPr>
        <w:endnoteReference w:id="137"/>
      </w:r>
      <w:r w:rsidR="000E5FB0" w:rsidRPr="00696A30">
        <w:rPr>
          <w:rStyle w:val="EndnoteReference"/>
          <w:rFonts w:eastAsiaTheme="minorEastAsia"/>
          <w:rtl/>
        </w:rPr>
        <w:t>)</w:t>
      </w:r>
      <w:r w:rsidR="000E5FB0" w:rsidRPr="00696A30">
        <w:rPr>
          <w:rStyle w:val="EndnoteReference"/>
          <w:rFonts w:eastAsiaTheme="minorEastAsia"/>
          <w:vertAlign w:val="baseline"/>
          <w:rtl/>
        </w:rPr>
        <w:t>.</w:t>
      </w:r>
    </w:p>
    <w:p w14:paraId="1B43B53E" w14:textId="1E6AA3D7" w:rsidR="00056D32" w:rsidRPr="00696A30" w:rsidRDefault="00056D32" w:rsidP="00F52243">
      <w:pPr>
        <w:pStyle w:val="SingleTxtGA"/>
        <w:spacing w:line="350" w:lineRule="exact"/>
        <w:rPr>
          <w:rFonts w:eastAsiaTheme="minorEastAsia"/>
          <w:szCs w:val="20"/>
          <w:rtl/>
          <w:lang w:val="ar-SA" w:eastAsia="zh-TW" w:bidi="en-GB"/>
        </w:rPr>
      </w:pPr>
      <w:r w:rsidRPr="00E841A5">
        <w:rPr>
          <w:rFonts w:eastAsiaTheme="minorEastAsia"/>
          <w:szCs w:val="20"/>
          <w:rtl/>
        </w:rPr>
        <w:t>121</w:t>
      </w:r>
      <w:r w:rsidRPr="00696A30">
        <w:rPr>
          <w:rFonts w:eastAsiaTheme="minorEastAsia"/>
          <w:szCs w:val="20"/>
          <w:rtl/>
        </w:rPr>
        <w:t>-</w:t>
      </w:r>
      <w:r w:rsidRPr="00696A30">
        <w:rPr>
          <w:rFonts w:eastAsiaTheme="minorEastAsia"/>
          <w:rtl/>
        </w:rPr>
        <w:tab/>
        <w:t xml:space="preserve">وأوصت اللجنة نفسها بأن تنفذ الدولة برامج وحملات توعية بأهمية تسجيل ولادة جميع الأطفال، بمن فيهم الأطفال </w:t>
      </w:r>
      <w:proofErr w:type="spellStart"/>
      <w:r w:rsidRPr="00696A30">
        <w:rPr>
          <w:rFonts w:eastAsiaTheme="minorEastAsia"/>
          <w:rtl/>
        </w:rPr>
        <w:t>المولودون</w:t>
      </w:r>
      <w:proofErr w:type="spellEnd"/>
      <w:r w:rsidRPr="00696A30">
        <w:rPr>
          <w:rFonts w:eastAsiaTheme="minorEastAsia"/>
          <w:rtl/>
        </w:rPr>
        <w:t xml:space="preserve"> لعمال مهاجرين نظاميين وغير </w:t>
      </w:r>
      <w:proofErr w:type="gramStart"/>
      <w:r w:rsidRPr="00696A30">
        <w:rPr>
          <w:rFonts w:eastAsiaTheme="minorEastAsia"/>
          <w:rtl/>
        </w:rPr>
        <w:t>نظاميين</w:t>
      </w:r>
      <w:r w:rsidRPr="00696A30">
        <w:rPr>
          <w:rFonts w:eastAsiaTheme="minorEastAsia"/>
          <w:vertAlign w:val="superscript"/>
          <w:rtl/>
        </w:rPr>
        <w:t>(</w:t>
      </w:r>
      <w:proofErr w:type="gramEnd"/>
      <w:r w:rsidRPr="00E841A5">
        <w:rPr>
          <w:rStyle w:val="EndnoteReference"/>
          <w:rFonts w:eastAsiaTheme="minorEastAsia"/>
          <w:lang w:val="en-US"/>
        </w:rPr>
        <w:endnoteReference w:id="138"/>
      </w:r>
      <w:r w:rsidR="000E5FB0" w:rsidRPr="00696A30">
        <w:rPr>
          <w:rStyle w:val="EndnoteReference"/>
          <w:rFonts w:eastAsiaTheme="minorEastAsia"/>
          <w:rtl/>
        </w:rPr>
        <w:t>)</w:t>
      </w:r>
      <w:r w:rsidR="000E5FB0" w:rsidRPr="00696A30">
        <w:rPr>
          <w:rStyle w:val="EndnoteReference"/>
          <w:rFonts w:eastAsiaTheme="minorEastAsia"/>
          <w:vertAlign w:val="baseline"/>
          <w:rtl/>
        </w:rPr>
        <w:t>.</w:t>
      </w:r>
    </w:p>
    <w:sectPr w:rsidR="00056D32" w:rsidRPr="00696A30" w:rsidSect="00E86D8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F5C9F" w14:textId="3ECF634A" w:rsidR="00DE1336" w:rsidRPr="00056D32" w:rsidRDefault="00DE1336" w:rsidP="00056D32">
      <w:pPr>
        <w:pStyle w:val="Footer"/>
        <w:spacing w:line="20" w:lineRule="exact"/>
        <w:rPr>
          <w:lang w:val="en-US"/>
        </w:rPr>
      </w:pPr>
    </w:p>
  </w:endnote>
  <w:endnote w:type="continuationSeparator" w:id="0">
    <w:p w14:paraId="273DB215" w14:textId="51CDEE57" w:rsidR="00DE1336" w:rsidRPr="00056D32" w:rsidRDefault="00DE1336" w:rsidP="00056D32">
      <w:pPr>
        <w:pStyle w:val="Footer"/>
        <w:spacing w:line="20" w:lineRule="exact"/>
        <w:rPr>
          <w:lang w:val="en-US"/>
        </w:rPr>
      </w:pPr>
    </w:p>
  </w:endnote>
  <w:endnote w:type="continuationNotice" w:id="1">
    <w:p w14:paraId="5CC9464F" w14:textId="77777777" w:rsidR="00DE1336" w:rsidRDefault="00DE1336" w:rsidP="00056D32">
      <w:pPr>
        <w:spacing w:line="20" w:lineRule="exact"/>
      </w:pPr>
    </w:p>
  </w:endnote>
  <w:endnote w:id="2">
    <w:p w14:paraId="650115AC" w14:textId="77777777" w:rsidR="00DE1336" w:rsidRPr="00C55683" w:rsidRDefault="00DE1336" w:rsidP="007532BE">
      <w:pPr>
        <w:pStyle w:val="H4G"/>
        <w:rPr>
          <w:lang w:val="en-US"/>
        </w:rPr>
      </w:pPr>
      <w:r w:rsidRPr="000B3B0C">
        <w:t>Notes</w:t>
      </w:r>
    </w:p>
    <w:p w14:paraId="75A95B2C" w14:textId="77777777" w:rsidR="00DE1336" w:rsidRPr="00BA5BFD" w:rsidRDefault="00DE1336" w:rsidP="007532BE">
      <w:pPr>
        <w:pStyle w:val="EndnoteText"/>
      </w:pPr>
      <w:r w:rsidRPr="000B3B0C">
        <w:tab/>
      </w:r>
      <w:r w:rsidRPr="00E841A5">
        <w:rPr>
          <w:rStyle w:val="EndnoteReference"/>
          <w:lang w:val="en-US"/>
        </w:rPr>
        <w:endnoteRef/>
      </w:r>
      <w:r w:rsidRPr="000B3B0C">
        <w:tab/>
        <w:t xml:space="preserve">Tables containing information on the scope of international obligations and cooperation with international human rights mechanisms and bodies for Suriname will be available at </w:t>
      </w:r>
      <w:hyperlink r:id="rId1" w:history="1">
        <w:r w:rsidRPr="000B3B0C">
          <w:rPr>
            <w:rStyle w:val="Hyperlink"/>
          </w:rPr>
          <w:t>www.ohchr.org/EN/HRBodies/UPR/Pages/SRindex.aspx</w:t>
        </w:r>
      </w:hyperlink>
      <w:r w:rsidRPr="00BA5BFD">
        <w:rPr>
          <w:rStyle w:val="Hyperlink"/>
          <w:color w:val="auto"/>
        </w:rPr>
        <w:t>.</w:t>
      </w:r>
    </w:p>
  </w:endnote>
  <w:endnote w:id="3">
    <w:p w14:paraId="004B154D" w14:textId="77777777" w:rsidR="00DE1336" w:rsidRPr="000B3B0C" w:rsidRDefault="00DE1336" w:rsidP="00056D32">
      <w:pPr>
        <w:pStyle w:val="EndnoteText"/>
      </w:pPr>
      <w:r w:rsidRPr="000B3B0C">
        <w:tab/>
      </w:r>
      <w:r w:rsidRPr="00E841A5">
        <w:rPr>
          <w:rStyle w:val="EndnoteReference"/>
          <w:lang w:val="en-US"/>
        </w:rPr>
        <w:endnoteRef/>
      </w:r>
      <w:r w:rsidRPr="000B3B0C">
        <w:tab/>
        <w:t>For relevant recommendations, see A/HRC/33/4, paras. 133.1</w:t>
      </w:r>
      <w:r w:rsidRPr="000B3B0C">
        <w:rPr>
          <w:iCs/>
        </w:rPr>
        <w:t>–</w:t>
      </w:r>
      <w:r w:rsidRPr="000B3B0C">
        <w:t>133.22, 133.39</w:t>
      </w:r>
      <w:r w:rsidRPr="000B3B0C">
        <w:rPr>
          <w:iCs/>
        </w:rPr>
        <w:t>–</w:t>
      </w:r>
      <w:r w:rsidRPr="000B3B0C">
        <w:t>133.41, 134.1, 135.1</w:t>
      </w:r>
      <w:r w:rsidRPr="000B3B0C">
        <w:rPr>
          <w:iCs/>
        </w:rPr>
        <w:t>–</w:t>
      </w:r>
      <w:r>
        <w:rPr>
          <w:iCs/>
        </w:rPr>
        <w:t>135.</w:t>
      </w:r>
      <w:r w:rsidRPr="000B3B0C">
        <w:t>21, 135.23 and 135.26</w:t>
      </w:r>
      <w:r w:rsidRPr="000B3B0C">
        <w:rPr>
          <w:iCs/>
        </w:rPr>
        <w:t>–</w:t>
      </w:r>
      <w:r w:rsidRPr="000B3B0C">
        <w:t>135.31.</w:t>
      </w:r>
    </w:p>
  </w:endnote>
  <w:endnote w:id="4">
    <w:p w14:paraId="39A914FF" w14:textId="77777777" w:rsidR="00DE1336" w:rsidRPr="007A02B5" w:rsidRDefault="00DE1336" w:rsidP="00056D32">
      <w:pPr>
        <w:pStyle w:val="EndnoteText"/>
        <w:rPr>
          <w:lang w:val="es-ES"/>
        </w:rPr>
      </w:pPr>
      <w:r w:rsidRPr="000B3B0C">
        <w:tab/>
      </w:r>
      <w:r w:rsidRPr="00E841A5">
        <w:rPr>
          <w:rStyle w:val="EndnoteReference"/>
          <w:lang w:val="en-US"/>
        </w:rPr>
        <w:endnoteRef/>
      </w:r>
      <w:r w:rsidRPr="000B3B0C">
        <w:tab/>
        <w:t>United Nations country team submission for the universal periodic review of Suriname, p. 1. See also CEDAW/C/SUR/CO/4-6, paras. 45</w:t>
      </w:r>
      <w:r w:rsidRPr="000B3B0C">
        <w:rPr>
          <w:iCs/>
        </w:rPr>
        <w:t>–</w:t>
      </w:r>
      <w:r w:rsidRPr="000B3B0C">
        <w:t xml:space="preserve">61; </w:t>
      </w:r>
      <w:r>
        <w:t xml:space="preserve">and </w:t>
      </w:r>
      <w:r w:rsidRPr="000B3B0C">
        <w:t xml:space="preserve">CRC/C/SUR/CO/3-4, para. </w:t>
      </w:r>
      <w:r w:rsidRPr="007A02B5">
        <w:rPr>
          <w:lang w:val="es-ES"/>
        </w:rPr>
        <w:t>44.</w:t>
      </w:r>
    </w:p>
  </w:endnote>
  <w:endnote w:id="5">
    <w:p w14:paraId="1A9418BD"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CRC/C/SUR/CO/3-4, para. 43.</w:t>
      </w:r>
    </w:p>
  </w:endnote>
  <w:endnote w:id="6">
    <w:p w14:paraId="7A976203" w14:textId="77777777" w:rsidR="00DE1336" w:rsidRPr="00EF00F7" w:rsidRDefault="00DE1336" w:rsidP="00056D32">
      <w:pPr>
        <w:pStyle w:val="EndnoteText"/>
        <w:rPr>
          <w:lang w:val="en-US"/>
        </w:rPr>
      </w:pPr>
      <w:r w:rsidRPr="007A02B5">
        <w:rPr>
          <w:lang w:val="es-ES"/>
        </w:rPr>
        <w:tab/>
      </w:r>
      <w:r w:rsidRPr="00E841A5">
        <w:rPr>
          <w:rStyle w:val="EndnoteReference"/>
          <w:lang w:val="en-US"/>
        </w:rPr>
        <w:endnoteRef/>
      </w:r>
      <w:r w:rsidRPr="007A02B5">
        <w:rPr>
          <w:lang w:val="es-ES"/>
        </w:rPr>
        <w:tab/>
        <w:t xml:space="preserve">CEDAW/C/SUR/CO/4-6, para. </w:t>
      </w:r>
      <w:r w:rsidRPr="000B3B0C">
        <w:t>45 (c).</w:t>
      </w:r>
    </w:p>
  </w:endnote>
  <w:endnote w:id="7">
    <w:p w14:paraId="1ABF2202" w14:textId="77777777" w:rsidR="00DE1336" w:rsidRPr="007A02B5" w:rsidRDefault="00DE1336" w:rsidP="00056D32">
      <w:pPr>
        <w:pStyle w:val="EndnoteText"/>
        <w:rPr>
          <w:lang w:val="es-ES"/>
        </w:rPr>
      </w:pPr>
      <w:r w:rsidRPr="000B3B0C">
        <w:tab/>
      </w:r>
      <w:r w:rsidRPr="00E841A5">
        <w:rPr>
          <w:rStyle w:val="EndnoteReference"/>
          <w:lang w:val="en-US"/>
        </w:rPr>
        <w:endnoteRef/>
      </w:r>
      <w:r w:rsidRPr="000B3B0C">
        <w:tab/>
        <w:t xml:space="preserve">UNHCR submission for the universal periodic review of Suriname, p. 4. </w:t>
      </w:r>
      <w:proofErr w:type="spellStart"/>
      <w:r w:rsidRPr="007A02B5">
        <w:rPr>
          <w:lang w:val="es-ES"/>
        </w:rPr>
        <w:t>See</w:t>
      </w:r>
      <w:proofErr w:type="spellEnd"/>
      <w:r w:rsidRPr="007A02B5">
        <w:rPr>
          <w:lang w:val="es-ES"/>
        </w:rPr>
        <w:t xml:space="preserve"> </w:t>
      </w:r>
      <w:proofErr w:type="spellStart"/>
      <w:r w:rsidRPr="007A02B5">
        <w:rPr>
          <w:lang w:val="es-ES"/>
        </w:rPr>
        <w:t>also</w:t>
      </w:r>
      <w:proofErr w:type="spellEnd"/>
      <w:r w:rsidRPr="007A02B5">
        <w:rPr>
          <w:lang w:val="es-ES"/>
        </w:rPr>
        <w:t xml:space="preserve"> CRC/C/SUR/CO/3-4, para. 17.</w:t>
      </w:r>
    </w:p>
  </w:endnote>
  <w:endnote w:id="8">
    <w:p w14:paraId="6831207B"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CRC/C/SUR/CO/3-4, para. 38 (f).</w:t>
      </w:r>
    </w:p>
  </w:endnote>
  <w:endnote w:id="9">
    <w:p w14:paraId="52191111" w14:textId="77777777" w:rsidR="00DE1336" w:rsidRPr="007532BE" w:rsidRDefault="00DE1336" w:rsidP="00056D32">
      <w:pPr>
        <w:pStyle w:val="EndnoteText"/>
        <w:rPr>
          <w:lang w:val="en-US"/>
        </w:rPr>
      </w:pPr>
      <w:r w:rsidRPr="007A02B5">
        <w:rPr>
          <w:lang w:val="es-ES"/>
        </w:rPr>
        <w:tab/>
      </w:r>
      <w:r w:rsidRPr="00E841A5">
        <w:rPr>
          <w:rStyle w:val="EndnoteReference"/>
          <w:lang w:val="en-US"/>
        </w:rPr>
        <w:endnoteRef/>
      </w:r>
      <w:r w:rsidRPr="000B3B0C">
        <w:tab/>
        <w:t>Ibid., para. 25.</w:t>
      </w:r>
    </w:p>
  </w:endnote>
  <w:endnote w:id="10">
    <w:p w14:paraId="5318B2E9" w14:textId="77777777" w:rsidR="00DE1336" w:rsidRPr="000B3B0C" w:rsidRDefault="00DE1336" w:rsidP="00056D32">
      <w:pPr>
        <w:pStyle w:val="EndnoteText"/>
      </w:pPr>
      <w:r w:rsidRPr="000B3B0C">
        <w:tab/>
      </w:r>
      <w:r w:rsidRPr="00E841A5">
        <w:rPr>
          <w:rStyle w:val="EndnoteReference"/>
          <w:lang w:val="en-US"/>
        </w:rPr>
        <w:endnoteRef/>
      </w:r>
      <w:r w:rsidRPr="000B3B0C">
        <w:tab/>
        <w:t>UNESCO submission for the universal periodic review of Suriname, para. 9.</w:t>
      </w:r>
    </w:p>
  </w:endnote>
  <w:endnote w:id="11">
    <w:p w14:paraId="597BD212" w14:textId="77777777" w:rsidR="00DE1336" w:rsidRPr="000B3B0C" w:rsidRDefault="00DE1336" w:rsidP="00056D32">
      <w:pPr>
        <w:pStyle w:val="EndnoteText"/>
      </w:pPr>
      <w:r w:rsidRPr="000B3B0C">
        <w:tab/>
      </w:r>
      <w:r w:rsidRPr="00E841A5">
        <w:rPr>
          <w:rStyle w:val="EndnoteReference"/>
          <w:lang w:val="en-US"/>
        </w:rPr>
        <w:endnoteRef/>
      </w:r>
      <w:r w:rsidRPr="000B3B0C">
        <w:tab/>
        <w:t>Ibid., para. 14.</w:t>
      </w:r>
    </w:p>
  </w:endnote>
  <w:endnote w:id="12">
    <w:p w14:paraId="7FFEEDA0"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2.</w:t>
      </w:r>
    </w:p>
  </w:endnote>
  <w:endnote w:id="13">
    <w:p w14:paraId="5853E7DB" w14:textId="77777777" w:rsidR="00DE1336" w:rsidRPr="000B3B0C" w:rsidRDefault="00DE1336" w:rsidP="00056D32">
      <w:pPr>
        <w:pStyle w:val="EndnoteText"/>
      </w:pPr>
      <w:r w:rsidRPr="000B3B0C">
        <w:tab/>
      </w:r>
      <w:r w:rsidRPr="00E841A5">
        <w:rPr>
          <w:rStyle w:val="EndnoteReference"/>
          <w:lang w:val="en-US"/>
        </w:rPr>
        <w:endnoteRef/>
      </w:r>
      <w:r w:rsidRPr="000B3B0C">
        <w:tab/>
        <w:t>Ibid., pp. 1–2.</w:t>
      </w:r>
    </w:p>
  </w:endnote>
  <w:endnote w:id="14">
    <w:p w14:paraId="22ED7CDC" w14:textId="77777777" w:rsidR="00DE1336" w:rsidRPr="000B3B0C" w:rsidRDefault="00DE1336" w:rsidP="00056D32">
      <w:pPr>
        <w:pStyle w:val="EndnoteText"/>
      </w:pPr>
      <w:r w:rsidRPr="000B3B0C">
        <w:tab/>
      </w:r>
      <w:r w:rsidRPr="00E841A5">
        <w:rPr>
          <w:rStyle w:val="EndnoteReference"/>
          <w:lang w:val="en-US"/>
        </w:rPr>
        <w:endnoteRef/>
      </w:r>
      <w:r w:rsidRPr="000B3B0C">
        <w:tab/>
        <w:t>For relevant recommendations, see A/HRC/33/4, paras. 133.23</w:t>
      </w:r>
      <w:r w:rsidRPr="000B3B0C">
        <w:rPr>
          <w:iCs/>
        </w:rPr>
        <w:t>–</w:t>
      </w:r>
      <w:r w:rsidRPr="000B3B0C">
        <w:t>133.24, 133.27</w:t>
      </w:r>
      <w:r w:rsidRPr="000B3B0C">
        <w:rPr>
          <w:iCs/>
        </w:rPr>
        <w:t>–</w:t>
      </w:r>
      <w:r w:rsidRPr="000B3B0C">
        <w:t>133.37, 135.22 and 135.24</w:t>
      </w:r>
      <w:r w:rsidRPr="000B3B0C">
        <w:rPr>
          <w:iCs/>
        </w:rPr>
        <w:t>–</w:t>
      </w:r>
      <w:r w:rsidRPr="000B3B0C">
        <w:t>135.25.</w:t>
      </w:r>
    </w:p>
  </w:endnote>
  <w:endnote w:id="15">
    <w:p w14:paraId="57F14B8E" w14:textId="77777777" w:rsidR="00DE1336" w:rsidRPr="000B3B0C" w:rsidRDefault="00DE1336" w:rsidP="00056D32">
      <w:pPr>
        <w:pStyle w:val="EndnoteText"/>
      </w:pPr>
      <w:r w:rsidRPr="000B3B0C">
        <w:tab/>
      </w:r>
      <w:r w:rsidRPr="00E841A5">
        <w:rPr>
          <w:rStyle w:val="EndnoteReference"/>
          <w:lang w:val="en-US"/>
        </w:rPr>
        <w:endnoteRef/>
      </w:r>
      <w:r w:rsidRPr="000B3B0C">
        <w:tab/>
        <w:t xml:space="preserve">CEDAW/C/SUR/CO/4-6, paras. 16–17. See also CRC/C/SUR/CO/3-4, para. 11 (a); </w:t>
      </w:r>
      <w:r>
        <w:t xml:space="preserve">and the </w:t>
      </w:r>
      <w:r w:rsidRPr="000B3B0C">
        <w:t>United Nations country team submission, p. 2.</w:t>
      </w:r>
    </w:p>
  </w:endnote>
  <w:endnote w:id="16">
    <w:p w14:paraId="6B33B648" w14:textId="77777777" w:rsidR="00DE1336" w:rsidRPr="000B3B0C" w:rsidRDefault="00DE1336" w:rsidP="00056D32">
      <w:pPr>
        <w:pStyle w:val="EndnoteText"/>
      </w:pPr>
      <w:r w:rsidRPr="000B3B0C">
        <w:tab/>
      </w:r>
      <w:r w:rsidRPr="00E841A5">
        <w:rPr>
          <w:rStyle w:val="EndnoteReference"/>
          <w:lang w:val="en-US"/>
        </w:rPr>
        <w:endnoteRef/>
      </w:r>
      <w:r w:rsidRPr="000B3B0C">
        <w:tab/>
        <w:t>For relevant recommendations, see A/HRC/33/4, paras. 133.38, 133.55</w:t>
      </w:r>
      <w:r w:rsidRPr="000B3B0C">
        <w:rPr>
          <w:iCs/>
        </w:rPr>
        <w:t>–</w:t>
      </w:r>
      <w:r w:rsidRPr="000B3B0C">
        <w:t>133.61 and 135.32</w:t>
      </w:r>
      <w:r w:rsidRPr="000B3B0C">
        <w:rPr>
          <w:iCs/>
        </w:rPr>
        <w:t>–</w:t>
      </w:r>
      <w:r w:rsidRPr="000B3B0C">
        <w:t>135.33.</w:t>
      </w:r>
    </w:p>
  </w:endnote>
  <w:endnote w:id="17">
    <w:p w14:paraId="725FD9AD" w14:textId="77777777" w:rsidR="00DE1336" w:rsidRPr="007A02B5" w:rsidRDefault="00DE1336" w:rsidP="00056D32">
      <w:pPr>
        <w:pStyle w:val="EndnoteText"/>
        <w:rPr>
          <w:lang w:val="es-ES"/>
        </w:rPr>
      </w:pPr>
      <w:r w:rsidRPr="000B3B0C">
        <w:tab/>
      </w:r>
      <w:r w:rsidRPr="00E841A5">
        <w:rPr>
          <w:rStyle w:val="EndnoteReference"/>
          <w:lang w:val="en-US"/>
        </w:rPr>
        <w:endnoteRef/>
      </w:r>
      <w:r w:rsidRPr="000B3B0C">
        <w:tab/>
        <w:t xml:space="preserve">CEDAW/C/SUR/CO/4-6, para. </w:t>
      </w:r>
      <w:r w:rsidRPr="007A02B5">
        <w:rPr>
          <w:lang w:val="es-ES"/>
        </w:rPr>
        <w:t>11 (c).</w:t>
      </w:r>
    </w:p>
  </w:endnote>
  <w:endnote w:id="18">
    <w:p w14:paraId="63E13EBE"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CRC/C/SUR/CO/3-4, para. </w:t>
      </w:r>
      <w:r w:rsidRPr="000B3B0C">
        <w:t>14.</w:t>
      </w:r>
    </w:p>
  </w:endnote>
  <w:endnote w:id="19">
    <w:p w14:paraId="53391D13"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3.</w:t>
      </w:r>
    </w:p>
  </w:endnote>
  <w:endnote w:id="20">
    <w:p w14:paraId="508847A8" w14:textId="77777777" w:rsidR="00DE1336" w:rsidRPr="000B3B0C" w:rsidRDefault="00DE1336" w:rsidP="00056D32">
      <w:pPr>
        <w:pStyle w:val="EndnoteText"/>
      </w:pPr>
      <w:r w:rsidRPr="000B3B0C">
        <w:tab/>
      </w:r>
      <w:r w:rsidRPr="00E841A5">
        <w:rPr>
          <w:rStyle w:val="EndnoteReference"/>
          <w:lang w:val="en-US"/>
        </w:rPr>
        <w:endnoteRef/>
      </w:r>
      <w:r w:rsidRPr="007A02B5">
        <w:rPr>
          <w:lang w:val="es-ES"/>
        </w:rPr>
        <w:tab/>
        <w:t xml:space="preserve">CEDAW/C/SUR/CO/4-6, para. </w:t>
      </w:r>
      <w:r w:rsidRPr="000B3B0C">
        <w:t>50.</w:t>
      </w:r>
    </w:p>
  </w:endnote>
  <w:endnote w:id="21">
    <w:p w14:paraId="45C5B844" w14:textId="77777777" w:rsidR="00DE1336" w:rsidRPr="000B3B0C" w:rsidRDefault="00DE1336" w:rsidP="00056D32">
      <w:pPr>
        <w:pStyle w:val="EndnoteText"/>
      </w:pPr>
      <w:r w:rsidRPr="000B3B0C">
        <w:tab/>
      </w:r>
      <w:r w:rsidRPr="00E841A5">
        <w:rPr>
          <w:rStyle w:val="EndnoteReference"/>
          <w:lang w:val="en-US"/>
        </w:rPr>
        <w:endnoteRef/>
      </w:r>
      <w:r w:rsidRPr="000B3B0C">
        <w:tab/>
        <w:t>For relevant recommendations, see A/HRC/33/4, paras. 133.102 and 135.43.</w:t>
      </w:r>
    </w:p>
  </w:endnote>
  <w:endnote w:id="22">
    <w:p w14:paraId="30F012E5" w14:textId="77777777" w:rsidR="00DE1336" w:rsidRPr="007A02B5" w:rsidRDefault="00DE1336" w:rsidP="00056D32">
      <w:pPr>
        <w:pStyle w:val="EndnoteText"/>
        <w:rPr>
          <w:lang w:val="es-ES"/>
        </w:rPr>
      </w:pPr>
      <w:r w:rsidRPr="000B3B0C">
        <w:tab/>
      </w:r>
      <w:r w:rsidRPr="00E841A5">
        <w:rPr>
          <w:rStyle w:val="EndnoteReference"/>
          <w:lang w:val="en-US"/>
        </w:rPr>
        <w:endnoteRef/>
      </w:r>
      <w:r w:rsidRPr="00DE1336">
        <w:rPr>
          <w:lang w:val="es-ES"/>
        </w:rPr>
        <w:tab/>
        <w:t xml:space="preserve">CRC/C/SUR/CO/3-4, para. </w:t>
      </w:r>
      <w:r w:rsidRPr="007A02B5">
        <w:rPr>
          <w:lang w:val="es-ES"/>
        </w:rPr>
        <w:t>9 (d).</w:t>
      </w:r>
    </w:p>
  </w:endnote>
  <w:endnote w:id="23">
    <w:p w14:paraId="1E784C3E"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CEDAW/C/SUR/CO/4-6, para. </w:t>
      </w:r>
      <w:r w:rsidRPr="000B3B0C">
        <w:t>19.</w:t>
      </w:r>
    </w:p>
  </w:endnote>
  <w:endnote w:id="24">
    <w:p w14:paraId="536773A1" w14:textId="77777777" w:rsidR="00DE1336" w:rsidRPr="000B3B0C" w:rsidRDefault="00DE1336" w:rsidP="00056D32">
      <w:pPr>
        <w:pStyle w:val="EndnoteText"/>
      </w:pPr>
      <w:r w:rsidRPr="000B3B0C">
        <w:tab/>
      </w:r>
      <w:r w:rsidRPr="00E841A5">
        <w:rPr>
          <w:rStyle w:val="EndnoteReference"/>
          <w:lang w:val="en-US"/>
        </w:rPr>
        <w:endnoteRef/>
      </w:r>
      <w:r w:rsidRPr="000B3B0C">
        <w:tab/>
        <w:t>Ibid., para. 20.</w:t>
      </w:r>
    </w:p>
  </w:endnote>
  <w:endnote w:id="25">
    <w:p w14:paraId="1B0DBB7F"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4.</w:t>
      </w:r>
    </w:p>
  </w:endnote>
  <w:endnote w:id="26">
    <w:p w14:paraId="53007A2D" w14:textId="77777777" w:rsidR="00DE1336" w:rsidRPr="000B3B0C" w:rsidRDefault="00DE1336" w:rsidP="00056D32">
      <w:pPr>
        <w:pStyle w:val="EndnoteText"/>
      </w:pPr>
      <w:r w:rsidRPr="000B3B0C">
        <w:tab/>
      </w:r>
      <w:r w:rsidRPr="00E841A5">
        <w:rPr>
          <w:rStyle w:val="EndnoteReference"/>
          <w:lang w:val="en-US"/>
        </w:rPr>
        <w:endnoteRef/>
      </w:r>
      <w:r w:rsidRPr="007A02B5">
        <w:rPr>
          <w:lang w:val="es-ES"/>
        </w:rPr>
        <w:tab/>
        <w:t xml:space="preserve">CRC/C/SUR/CO/3-4, para. </w:t>
      </w:r>
      <w:r w:rsidRPr="000B3B0C">
        <w:t>36.</w:t>
      </w:r>
    </w:p>
  </w:endnote>
  <w:endnote w:id="27">
    <w:p w14:paraId="5FF99BEF" w14:textId="77777777" w:rsidR="00DE1336" w:rsidRPr="000B3B0C" w:rsidRDefault="00DE1336" w:rsidP="00056D32">
      <w:pPr>
        <w:pStyle w:val="EndnoteText"/>
      </w:pPr>
      <w:r w:rsidRPr="000B3B0C">
        <w:tab/>
      </w:r>
      <w:r w:rsidRPr="00E841A5">
        <w:rPr>
          <w:rStyle w:val="EndnoteReference"/>
          <w:lang w:val="en-US"/>
        </w:rPr>
        <w:endnoteRef/>
      </w:r>
      <w:r w:rsidRPr="000B3B0C">
        <w:tab/>
        <w:t>For relevant recommendations, see A/HRC/33/4, paras. 133.62</w:t>
      </w:r>
      <w:r w:rsidRPr="000B3B0C">
        <w:rPr>
          <w:iCs/>
        </w:rPr>
        <w:t>–</w:t>
      </w:r>
      <w:r w:rsidRPr="000B3B0C">
        <w:t>133.66 and 135.34.</w:t>
      </w:r>
    </w:p>
  </w:endnote>
  <w:endnote w:id="28">
    <w:p w14:paraId="72F5D02E"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4.</w:t>
      </w:r>
    </w:p>
  </w:endnote>
  <w:endnote w:id="29">
    <w:p w14:paraId="5A71673D" w14:textId="77777777" w:rsidR="00DE1336" w:rsidRPr="007A02B5" w:rsidRDefault="00DE1336" w:rsidP="00056D32">
      <w:pPr>
        <w:pStyle w:val="EndnoteText"/>
        <w:rPr>
          <w:lang w:val="es-ES"/>
        </w:rPr>
      </w:pPr>
      <w:r w:rsidRPr="000B3B0C">
        <w:tab/>
      </w:r>
      <w:r w:rsidRPr="00E841A5">
        <w:rPr>
          <w:rStyle w:val="EndnoteReference"/>
          <w:lang w:val="en-US"/>
        </w:rPr>
        <w:endnoteRef/>
      </w:r>
      <w:r w:rsidRPr="007A02B5">
        <w:rPr>
          <w:lang w:val="es-ES"/>
        </w:rPr>
        <w:tab/>
        <w:t>Ibid.</w:t>
      </w:r>
    </w:p>
  </w:endnote>
  <w:endnote w:id="30">
    <w:p w14:paraId="6A9FB1BB"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 8.</w:t>
      </w:r>
    </w:p>
  </w:endnote>
  <w:endnote w:id="31">
    <w:p w14:paraId="55DA2879"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CRC/C/SUR/CO/3-4, para. 41 (e).</w:t>
      </w:r>
    </w:p>
  </w:endnote>
  <w:endnote w:id="32">
    <w:p w14:paraId="637D8400" w14:textId="77777777" w:rsidR="00DE1336" w:rsidRPr="000B3B0C" w:rsidRDefault="00DE1336" w:rsidP="00056D32">
      <w:pPr>
        <w:pStyle w:val="EndnoteText"/>
      </w:pPr>
      <w:r w:rsidRPr="007A02B5">
        <w:rPr>
          <w:lang w:val="es-ES"/>
        </w:rPr>
        <w:tab/>
      </w:r>
      <w:r w:rsidRPr="00E841A5">
        <w:rPr>
          <w:rStyle w:val="EndnoteReference"/>
          <w:lang w:val="en-US"/>
        </w:rPr>
        <w:endnoteRef/>
      </w:r>
      <w:r w:rsidRPr="000B3B0C">
        <w:tab/>
      </w:r>
      <w:r>
        <w:t>Ibid.</w:t>
      </w:r>
      <w:r w:rsidRPr="000B3B0C">
        <w:t>, para. 18 (a)</w:t>
      </w:r>
      <w:r>
        <w:t>.</w:t>
      </w:r>
      <w:r w:rsidRPr="000B3B0C">
        <w:t xml:space="preserve"> </w:t>
      </w:r>
      <w:r>
        <w:t>S</w:t>
      </w:r>
      <w:r w:rsidRPr="000B3B0C">
        <w:t xml:space="preserve">ee also CEDAW/C/SUR/CO/4-6, para. 27 (c); </w:t>
      </w:r>
      <w:r>
        <w:t xml:space="preserve">and </w:t>
      </w:r>
      <w:r w:rsidRPr="000B3B0C">
        <w:t>UNESCO submission, para. 9.</w:t>
      </w:r>
    </w:p>
  </w:endnote>
  <w:endnote w:id="33">
    <w:p w14:paraId="10D57F7F" w14:textId="77777777" w:rsidR="00DE1336" w:rsidRPr="000B3B0C" w:rsidRDefault="00DE1336" w:rsidP="00056D32">
      <w:pPr>
        <w:pStyle w:val="EndnoteText"/>
      </w:pPr>
      <w:r w:rsidRPr="000B3B0C">
        <w:tab/>
      </w:r>
      <w:r w:rsidRPr="00E841A5">
        <w:rPr>
          <w:rStyle w:val="EndnoteReference"/>
          <w:lang w:val="en-US"/>
        </w:rPr>
        <w:endnoteRef/>
      </w:r>
      <w:r w:rsidRPr="000B3B0C">
        <w:tab/>
        <w:t>For relevant recommendations, see A/HRC/33/4, paras. 133.69, 133.81</w:t>
      </w:r>
      <w:r w:rsidRPr="000B3B0C">
        <w:rPr>
          <w:iCs/>
        </w:rPr>
        <w:t>–</w:t>
      </w:r>
      <w:r w:rsidRPr="000B3B0C">
        <w:t>133.83 and 134.2</w:t>
      </w:r>
      <w:r w:rsidRPr="000B3B0C">
        <w:rPr>
          <w:iCs/>
        </w:rPr>
        <w:t>–</w:t>
      </w:r>
      <w:r w:rsidRPr="000B3B0C">
        <w:t>134.3.</w:t>
      </w:r>
    </w:p>
  </w:endnote>
  <w:endnote w:id="34">
    <w:p w14:paraId="453FE786"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6.</w:t>
      </w:r>
    </w:p>
  </w:endnote>
  <w:endnote w:id="35">
    <w:p w14:paraId="372B7EC2" w14:textId="77777777" w:rsidR="00DE1336" w:rsidRPr="007A02B5" w:rsidRDefault="00DE1336" w:rsidP="00056D32">
      <w:pPr>
        <w:pStyle w:val="EndnoteText"/>
        <w:rPr>
          <w:lang w:val="es-ES"/>
        </w:rPr>
      </w:pPr>
      <w:r w:rsidRPr="000B3B0C">
        <w:tab/>
      </w:r>
      <w:r w:rsidRPr="00E841A5">
        <w:rPr>
          <w:rStyle w:val="EndnoteReference"/>
          <w:lang w:val="en-US"/>
        </w:rPr>
        <w:endnoteRef/>
      </w:r>
      <w:r w:rsidRPr="007A02B5">
        <w:rPr>
          <w:lang w:val="es-ES"/>
        </w:rPr>
        <w:tab/>
        <w:t>Ibid., p. 3.</w:t>
      </w:r>
    </w:p>
  </w:endnote>
  <w:endnote w:id="36">
    <w:p w14:paraId="54B1C88F"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CRC/C/SUR/CO/3-4, para. </w:t>
      </w:r>
      <w:r w:rsidRPr="000B3B0C">
        <w:t>41 (a) and (c)</w:t>
      </w:r>
      <w:r w:rsidRPr="000B3B0C">
        <w:rPr>
          <w:iCs/>
        </w:rPr>
        <w:t>–</w:t>
      </w:r>
      <w:r w:rsidRPr="000B3B0C">
        <w:t>(d).</w:t>
      </w:r>
    </w:p>
  </w:endnote>
  <w:endnote w:id="37">
    <w:p w14:paraId="12F1891E" w14:textId="77777777" w:rsidR="00DE1336" w:rsidRPr="00F140AA" w:rsidRDefault="00DE1336" w:rsidP="00056D32">
      <w:pPr>
        <w:pStyle w:val="EndnoteText"/>
        <w:rPr>
          <w:lang w:val="en-US"/>
        </w:rPr>
      </w:pPr>
      <w:r w:rsidRPr="000B3B0C">
        <w:tab/>
      </w:r>
      <w:r w:rsidRPr="00E841A5">
        <w:rPr>
          <w:rStyle w:val="EndnoteReference"/>
          <w:lang w:val="en-US"/>
        </w:rPr>
        <w:endnoteRef/>
      </w:r>
      <w:r w:rsidRPr="000B3B0C">
        <w:tab/>
        <w:t xml:space="preserve">For </w:t>
      </w:r>
      <w:r>
        <w:t xml:space="preserve">the </w:t>
      </w:r>
      <w:r w:rsidRPr="000B3B0C">
        <w:t>relevant recommendation</w:t>
      </w:r>
      <w:r>
        <w:t>,</w:t>
      </w:r>
      <w:r w:rsidRPr="000B3B0C">
        <w:t xml:space="preserve"> see A/HRC/33/4, para. 135.40.</w:t>
      </w:r>
    </w:p>
  </w:endnote>
  <w:endnote w:id="38">
    <w:p w14:paraId="22D411C0" w14:textId="77777777" w:rsidR="00DE1336" w:rsidRPr="000B3B0C" w:rsidRDefault="00DE1336" w:rsidP="00056D32">
      <w:pPr>
        <w:pStyle w:val="EndnoteText"/>
      </w:pPr>
      <w:r w:rsidRPr="000B3B0C">
        <w:tab/>
      </w:r>
      <w:r w:rsidRPr="00E841A5">
        <w:rPr>
          <w:rStyle w:val="EndnoteReference"/>
          <w:lang w:val="en-US"/>
        </w:rPr>
        <w:endnoteRef/>
      </w:r>
      <w:r w:rsidRPr="000B3B0C">
        <w:tab/>
        <w:t>UNESCO submission, paras. 4 and 10.</w:t>
      </w:r>
    </w:p>
  </w:endnote>
  <w:endnote w:id="39">
    <w:p w14:paraId="234ED2E2" w14:textId="77777777" w:rsidR="00DE1336" w:rsidRPr="000B3B0C" w:rsidRDefault="00DE1336" w:rsidP="00056D32">
      <w:pPr>
        <w:pStyle w:val="EndnoteText"/>
      </w:pPr>
      <w:r w:rsidRPr="000B3B0C">
        <w:tab/>
      </w:r>
      <w:r w:rsidRPr="00E841A5">
        <w:rPr>
          <w:rStyle w:val="EndnoteReference"/>
          <w:lang w:val="en-US"/>
        </w:rPr>
        <w:endnoteRef/>
      </w:r>
      <w:r w:rsidRPr="000B3B0C">
        <w:tab/>
        <w:t>Ibid., paras. 5 and 11.</w:t>
      </w:r>
    </w:p>
  </w:endnote>
  <w:endnote w:id="40">
    <w:p w14:paraId="2CAC0748" w14:textId="77777777" w:rsidR="00DE1336" w:rsidRPr="007A02B5" w:rsidRDefault="00DE1336" w:rsidP="00056D32">
      <w:pPr>
        <w:pStyle w:val="EndnoteText"/>
        <w:rPr>
          <w:lang w:val="es-ES"/>
        </w:rPr>
      </w:pPr>
      <w:r w:rsidRPr="000B3B0C">
        <w:tab/>
      </w:r>
      <w:r w:rsidRPr="00E841A5">
        <w:rPr>
          <w:rStyle w:val="EndnoteReference"/>
          <w:lang w:val="en-US"/>
        </w:rPr>
        <w:endnoteRef/>
      </w:r>
      <w:r w:rsidRPr="007A02B5">
        <w:rPr>
          <w:lang w:val="es-ES"/>
        </w:rPr>
        <w:tab/>
        <w:t>Ibid., para. 12.</w:t>
      </w:r>
    </w:p>
  </w:endnote>
  <w:endnote w:id="41">
    <w:p w14:paraId="4EC52764" w14:textId="77777777" w:rsidR="00DE1336" w:rsidRPr="00B015C1" w:rsidRDefault="00DE1336" w:rsidP="00056D32">
      <w:pPr>
        <w:pStyle w:val="EndnoteText"/>
        <w:rPr>
          <w:lang w:val="es-ES"/>
        </w:rPr>
      </w:pPr>
      <w:r w:rsidRPr="007A02B5">
        <w:rPr>
          <w:lang w:val="es-ES"/>
        </w:rPr>
        <w:tab/>
      </w:r>
      <w:r w:rsidRPr="00E841A5">
        <w:rPr>
          <w:rStyle w:val="EndnoteReference"/>
          <w:lang w:val="en-US"/>
        </w:rPr>
        <w:endnoteRef/>
      </w:r>
      <w:r w:rsidRPr="00B015C1">
        <w:rPr>
          <w:lang w:val="es-ES"/>
        </w:rPr>
        <w:tab/>
      </w:r>
      <w:proofErr w:type="spellStart"/>
      <w:r w:rsidRPr="00B015C1">
        <w:rPr>
          <w:lang w:val="es-ES"/>
        </w:rPr>
        <w:t>See</w:t>
      </w:r>
      <w:proofErr w:type="spellEnd"/>
      <w:r w:rsidRPr="00B015C1">
        <w:rPr>
          <w:lang w:val="es-ES"/>
        </w:rPr>
        <w:t xml:space="preserve"> </w:t>
      </w:r>
      <w:hyperlink r:id="rId2" w:history="1">
        <w:r w:rsidRPr="00B015C1">
          <w:rPr>
            <w:rStyle w:val="Hyperlink"/>
            <w:lang w:val="es-ES"/>
          </w:rPr>
          <w:t>www.ilo.org/dyn/normlex/en/f?p=1000:13100:0::NO:13100:P13100_COMMENT_ID:3295134:NO</w:t>
        </w:r>
      </w:hyperlink>
      <w:r w:rsidRPr="00B015C1">
        <w:rPr>
          <w:lang w:val="es-ES"/>
        </w:rPr>
        <w:t>.</w:t>
      </w:r>
    </w:p>
  </w:endnote>
  <w:endnote w:id="42">
    <w:p w14:paraId="0B076352" w14:textId="77777777" w:rsidR="00DE1336" w:rsidRPr="00DE1336" w:rsidRDefault="00DE1336" w:rsidP="00056D32">
      <w:pPr>
        <w:pStyle w:val="EndnoteText"/>
        <w:rPr>
          <w:lang w:val="en-US"/>
        </w:rPr>
      </w:pPr>
      <w:r w:rsidRPr="00B015C1">
        <w:rPr>
          <w:lang w:val="es-ES"/>
        </w:rPr>
        <w:tab/>
      </w:r>
      <w:r w:rsidRPr="00E841A5">
        <w:rPr>
          <w:rStyle w:val="EndnoteReference"/>
          <w:lang w:val="en-US"/>
        </w:rPr>
        <w:endnoteRef/>
      </w:r>
      <w:r w:rsidRPr="000B3B0C">
        <w:tab/>
        <w:t xml:space="preserve">For relevant recommendations, see A/HRC/33/4, paras. </w:t>
      </w:r>
      <w:r w:rsidRPr="00DE1336">
        <w:rPr>
          <w:lang w:val="en-US"/>
        </w:rPr>
        <w:t>133.75</w:t>
      </w:r>
      <w:r w:rsidRPr="00DE1336">
        <w:rPr>
          <w:iCs/>
          <w:lang w:val="en-US"/>
        </w:rPr>
        <w:t>–</w:t>
      </w:r>
      <w:r w:rsidRPr="00DE1336">
        <w:rPr>
          <w:lang w:val="en-US"/>
        </w:rPr>
        <w:t>133.80.</w:t>
      </w:r>
    </w:p>
  </w:endnote>
  <w:endnote w:id="43">
    <w:p w14:paraId="022E59D6" w14:textId="77777777" w:rsidR="00DE1336" w:rsidRPr="000B3B0C" w:rsidRDefault="00DE1336" w:rsidP="00056D32">
      <w:pPr>
        <w:pStyle w:val="EndnoteText"/>
      </w:pPr>
      <w:r w:rsidRPr="00DE1336">
        <w:rPr>
          <w:lang w:val="en-US"/>
        </w:rPr>
        <w:tab/>
      </w:r>
      <w:r w:rsidRPr="00E841A5">
        <w:rPr>
          <w:rStyle w:val="EndnoteReference"/>
          <w:lang w:val="en-US"/>
        </w:rPr>
        <w:endnoteRef/>
      </w:r>
      <w:r w:rsidRPr="00DE1336">
        <w:rPr>
          <w:lang w:val="en-US"/>
        </w:rPr>
        <w:tab/>
        <w:t xml:space="preserve">CRC/C/SUR/CO/3-4, para. </w:t>
      </w:r>
      <w:r w:rsidRPr="000B3B0C">
        <w:t>39 (a)</w:t>
      </w:r>
      <w:r w:rsidRPr="000B3B0C">
        <w:rPr>
          <w:iCs/>
        </w:rPr>
        <w:t>–</w:t>
      </w:r>
      <w:r w:rsidRPr="000B3B0C">
        <w:t>(b).</w:t>
      </w:r>
    </w:p>
  </w:endnote>
  <w:endnote w:id="44">
    <w:p w14:paraId="2D50F012"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5.</w:t>
      </w:r>
    </w:p>
  </w:endnote>
  <w:endnote w:id="45">
    <w:p w14:paraId="38246489" w14:textId="77777777" w:rsidR="00DE1336" w:rsidRPr="007A02B5" w:rsidRDefault="00DE1336" w:rsidP="00056D32">
      <w:pPr>
        <w:pStyle w:val="EndnoteText"/>
        <w:rPr>
          <w:lang w:val="es-ES"/>
        </w:rPr>
      </w:pPr>
      <w:r w:rsidRPr="000B3B0C">
        <w:tab/>
      </w:r>
      <w:r w:rsidRPr="00E841A5">
        <w:rPr>
          <w:rStyle w:val="EndnoteReference"/>
          <w:lang w:val="en-US"/>
        </w:rPr>
        <w:endnoteRef/>
      </w:r>
      <w:r w:rsidRPr="007A02B5">
        <w:rPr>
          <w:lang w:val="es-ES"/>
        </w:rPr>
        <w:tab/>
        <w:t>Ibid.</w:t>
      </w:r>
    </w:p>
  </w:endnote>
  <w:endnote w:id="46">
    <w:p w14:paraId="54501D68"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CEDAW/C/SUR/CO/4-6, para. </w:t>
      </w:r>
      <w:r w:rsidRPr="000B3B0C">
        <w:t>29 (a).</w:t>
      </w:r>
    </w:p>
  </w:endnote>
  <w:endnote w:id="47">
    <w:p w14:paraId="58100684" w14:textId="77777777" w:rsidR="00DE1336" w:rsidRPr="000B3B0C" w:rsidRDefault="00DE1336" w:rsidP="00056D32">
      <w:pPr>
        <w:pStyle w:val="EndnoteText"/>
      </w:pPr>
      <w:r w:rsidRPr="000B3B0C">
        <w:tab/>
      </w:r>
      <w:r w:rsidRPr="00E841A5">
        <w:rPr>
          <w:rStyle w:val="EndnoteReference"/>
          <w:lang w:val="en-US"/>
        </w:rPr>
        <w:endnoteRef/>
      </w:r>
      <w:r w:rsidRPr="000B3B0C">
        <w:tab/>
      </w:r>
      <w:r>
        <w:t>Ibid.</w:t>
      </w:r>
      <w:r w:rsidRPr="000B3B0C">
        <w:t>, para. 29 (b). See also United Nations country team submission, p. 5.</w:t>
      </w:r>
    </w:p>
  </w:endnote>
  <w:endnote w:id="48">
    <w:p w14:paraId="0825493D" w14:textId="77777777" w:rsidR="00DE1336" w:rsidRPr="000B3B0C" w:rsidRDefault="00DE1336" w:rsidP="00056D32">
      <w:pPr>
        <w:pStyle w:val="EndnoteText"/>
      </w:pPr>
      <w:r w:rsidRPr="000B3B0C">
        <w:tab/>
      </w:r>
      <w:r w:rsidRPr="00E841A5">
        <w:rPr>
          <w:rStyle w:val="EndnoteReference"/>
          <w:lang w:val="en-US"/>
        </w:rPr>
        <w:endnoteRef/>
      </w:r>
      <w:r w:rsidRPr="000B3B0C">
        <w:tab/>
        <w:t xml:space="preserve">See </w:t>
      </w:r>
      <w:hyperlink r:id="rId3" w:history="1">
        <w:r w:rsidRPr="009429A4">
          <w:rPr>
            <w:rStyle w:val="Hyperlink"/>
          </w:rPr>
          <w:t>www.ilo.org/dyn/normlex/en/f?p=1000:13100:0::NO:13100:P13100_COMMENT_ID:3289947:NO</w:t>
        </w:r>
      </w:hyperlink>
      <w:r w:rsidRPr="000B3B0C">
        <w:t>.</w:t>
      </w:r>
    </w:p>
  </w:endnote>
  <w:endnote w:id="49">
    <w:p w14:paraId="3DF9E0B6" w14:textId="77777777" w:rsidR="00DE1336" w:rsidRPr="000B3B0C" w:rsidRDefault="00DE1336" w:rsidP="00056D32">
      <w:pPr>
        <w:pStyle w:val="EndnoteText"/>
      </w:pPr>
      <w:r w:rsidRPr="000B3B0C">
        <w:tab/>
      </w:r>
      <w:r w:rsidRPr="00E841A5">
        <w:rPr>
          <w:rStyle w:val="EndnoteReference"/>
          <w:lang w:val="en-US"/>
        </w:rPr>
        <w:endnoteRef/>
      </w:r>
      <w:r w:rsidRPr="000B3B0C">
        <w:tab/>
        <w:t>UNHCR submission, p. 5. See also United Nations country team submission, p. 5.</w:t>
      </w:r>
    </w:p>
  </w:endnote>
  <w:endnote w:id="50">
    <w:p w14:paraId="1CB7CCA3" w14:textId="77777777" w:rsidR="00DE1336" w:rsidRPr="000B3B0C" w:rsidRDefault="00DE1336" w:rsidP="00056D32">
      <w:pPr>
        <w:pStyle w:val="EndnoteText"/>
      </w:pPr>
      <w:r w:rsidRPr="000B3B0C">
        <w:tab/>
      </w:r>
      <w:r w:rsidRPr="00E841A5">
        <w:rPr>
          <w:rStyle w:val="EndnoteReference"/>
          <w:lang w:val="en-US"/>
        </w:rPr>
        <w:endnoteRef/>
      </w:r>
      <w:r w:rsidRPr="000B3B0C">
        <w:tab/>
        <w:t xml:space="preserve">For </w:t>
      </w:r>
      <w:r>
        <w:t xml:space="preserve">the </w:t>
      </w:r>
      <w:r w:rsidRPr="000B3B0C">
        <w:t>relevant recommendation, see A/HRC/33/4, para. 133.26.</w:t>
      </w:r>
    </w:p>
  </w:endnote>
  <w:endnote w:id="51">
    <w:p w14:paraId="364FAD9B" w14:textId="77777777" w:rsidR="00DE1336" w:rsidRPr="000B3B0C" w:rsidRDefault="00DE1336" w:rsidP="00056D32">
      <w:pPr>
        <w:pStyle w:val="EndnoteText"/>
      </w:pPr>
      <w:r w:rsidRPr="000B3B0C">
        <w:tab/>
      </w:r>
      <w:r w:rsidRPr="00E841A5">
        <w:rPr>
          <w:rStyle w:val="EndnoteReference"/>
          <w:lang w:val="en-US"/>
        </w:rPr>
        <w:endnoteRef/>
      </w:r>
      <w:r w:rsidRPr="000B3B0C">
        <w:tab/>
        <w:t xml:space="preserve">See </w:t>
      </w:r>
      <w:hyperlink r:id="rId4" w:history="1">
        <w:r w:rsidRPr="000B3B0C">
          <w:rPr>
            <w:rStyle w:val="Hyperlink"/>
          </w:rPr>
          <w:t>www.ilo.org/dyn/normlex/en/f?p=1000:13100:0::NO:13100:P13100_COMMENT_ID:3956501:NO</w:t>
        </w:r>
      </w:hyperlink>
      <w:r w:rsidRPr="000B3B0C">
        <w:t>.</w:t>
      </w:r>
    </w:p>
  </w:endnote>
  <w:endnote w:id="52">
    <w:p w14:paraId="21B21109"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12.</w:t>
      </w:r>
    </w:p>
  </w:endnote>
  <w:endnote w:id="53">
    <w:p w14:paraId="09A65EBB" w14:textId="77777777" w:rsidR="00DE1336" w:rsidRPr="007A02B5" w:rsidRDefault="00DE1336" w:rsidP="00056D32">
      <w:pPr>
        <w:pStyle w:val="EndnoteText"/>
        <w:rPr>
          <w:lang w:val="es-ES"/>
        </w:rPr>
      </w:pPr>
      <w:r w:rsidRPr="000B3B0C">
        <w:tab/>
      </w:r>
      <w:r w:rsidRPr="00E841A5">
        <w:rPr>
          <w:rStyle w:val="EndnoteReference"/>
          <w:lang w:val="en-US"/>
        </w:rPr>
        <w:endnoteRef/>
      </w:r>
      <w:r w:rsidRPr="007A02B5">
        <w:rPr>
          <w:lang w:val="es-ES"/>
        </w:rPr>
        <w:tab/>
        <w:t>CEDAW/C/SUR/CO/4-6, para. 36 (c).</w:t>
      </w:r>
    </w:p>
  </w:endnote>
  <w:endnote w:id="54">
    <w:p w14:paraId="2A22A1EC" w14:textId="77777777" w:rsidR="00DE1336" w:rsidRPr="00DE1336"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36 (d).</w:t>
      </w:r>
    </w:p>
  </w:endnote>
  <w:endnote w:id="55">
    <w:p w14:paraId="6F532EAF"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CRC/C/SUR/CO/3-4, para. </w:t>
      </w:r>
      <w:r w:rsidRPr="000B3B0C">
        <w:t>38 (d).</w:t>
      </w:r>
    </w:p>
  </w:endnote>
  <w:endnote w:id="56">
    <w:p w14:paraId="5938E4E1" w14:textId="77777777" w:rsidR="00DE1336" w:rsidRPr="000B3B0C" w:rsidRDefault="00DE1336" w:rsidP="00056D32">
      <w:pPr>
        <w:pStyle w:val="EndnoteText"/>
      </w:pPr>
      <w:r w:rsidRPr="000B3B0C">
        <w:tab/>
      </w:r>
      <w:r w:rsidRPr="00E841A5">
        <w:rPr>
          <w:rStyle w:val="EndnoteReference"/>
          <w:lang w:val="en-US"/>
        </w:rPr>
        <w:endnoteRef/>
      </w:r>
      <w:r w:rsidRPr="000B3B0C">
        <w:tab/>
        <w:t xml:space="preserve">See </w:t>
      </w:r>
      <w:hyperlink r:id="rId5" w:history="1">
        <w:r w:rsidRPr="00B0596F">
          <w:rPr>
            <w:rStyle w:val="Hyperlink"/>
          </w:rPr>
          <w:t>www.ilo.org/dyn/normlex/en/f?p=1000:13100:0::NO:13100:P13100_COMMENT_ID:3962786:NO</w:t>
        </w:r>
      </w:hyperlink>
      <w:r w:rsidRPr="000B3B0C">
        <w:t>.</w:t>
      </w:r>
    </w:p>
  </w:endnote>
  <w:endnote w:id="57">
    <w:p w14:paraId="138BE10B"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7.</w:t>
      </w:r>
    </w:p>
  </w:endnote>
  <w:endnote w:id="58">
    <w:p w14:paraId="61994BC5" w14:textId="77777777" w:rsidR="00DE1336" w:rsidRPr="007A02B5" w:rsidRDefault="00DE1336" w:rsidP="00056D32">
      <w:pPr>
        <w:pStyle w:val="EndnoteText"/>
        <w:rPr>
          <w:lang w:val="es-ES"/>
        </w:rPr>
      </w:pPr>
      <w:r w:rsidRPr="000B3B0C">
        <w:tab/>
      </w:r>
      <w:r w:rsidRPr="00E841A5">
        <w:rPr>
          <w:rStyle w:val="EndnoteReference"/>
          <w:lang w:val="en-US"/>
        </w:rPr>
        <w:endnoteRef/>
      </w:r>
      <w:r w:rsidRPr="007A02B5">
        <w:rPr>
          <w:lang w:val="es-ES"/>
        </w:rPr>
        <w:tab/>
        <w:t>CEDAW/C/SUR/CO/4-6, para. 37 (c).</w:t>
      </w:r>
    </w:p>
  </w:endnote>
  <w:endnote w:id="59">
    <w:p w14:paraId="34FC4E69"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CRC/C/SUR/CO/3-4, para. </w:t>
      </w:r>
      <w:r w:rsidRPr="000B3B0C">
        <w:t>33 (c).</w:t>
      </w:r>
    </w:p>
  </w:endnote>
  <w:endnote w:id="60">
    <w:p w14:paraId="0CD351A6" w14:textId="77777777" w:rsidR="00DE1336" w:rsidRPr="000B3B0C" w:rsidRDefault="00DE1336" w:rsidP="00056D32">
      <w:pPr>
        <w:pStyle w:val="EndnoteText"/>
      </w:pPr>
      <w:r w:rsidRPr="000B3B0C">
        <w:tab/>
      </w:r>
      <w:r w:rsidRPr="00E841A5">
        <w:rPr>
          <w:rStyle w:val="EndnoteReference"/>
          <w:lang w:val="en-US"/>
        </w:rPr>
        <w:endnoteRef/>
      </w:r>
      <w:r w:rsidRPr="000B3B0C">
        <w:tab/>
        <w:t>Ibid., para. 27 (b).</w:t>
      </w:r>
    </w:p>
  </w:endnote>
  <w:endnote w:id="61">
    <w:p w14:paraId="74200D50" w14:textId="77777777" w:rsidR="00DE1336" w:rsidRPr="000B3B0C" w:rsidRDefault="00DE1336" w:rsidP="00056D32">
      <w:pPr>
        <w:pStyle w:val="EndnoteText"/>
      </w:pPr>
      <w:r w:rsidRPr="000B3B0C">
        <w:tab/>
      </w:r>
      <w:r w:rsidRPr="00E841A5">
        <w:rPr>
          <w:rStyle w:val="EndnoteReference"/>
          <w:lang w:val="en-US"/>
        </w:rPr>
        <w:endnoteRef/>
      </w:r>
      <w:r w:rsidRPr="000B3B0C">
        <w:tab/>
        <w:t>For relevant recommendations</w:t>
      </w:r>
      <w:r>
        <w:t>,</w:t>
      </w:r>
      <w:r w:rsidRPr="000B3B0C">
        <w:t xml:space="preserve"> see A/HRC/33/4, paras. 133.25 and 133.85.</w:t>
      </w:r>
    </w:p>
  </w:endnote>
  <w:endnote w:id="62">
    <w:p w14:paraId="432DC447"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9.</w:t>
      </w:r>
    </w:p>
  </w:endnote>
  <w:endnote w:id="63">
    <w:p w14:paraId="1F0BAA6E" w14:textId="77777777" w:rsidR="00DE1336" w:rsidRPr="000B3B0C" w:rsidRDefault="00DE1336" w:rsidP="00056D32">
      <w:pPr>
        <w:pStyle w:val="EndnoteText"/>
      </w:pPr>
      <w:r w:rsidRPr="000B3B0C">
        <w:tab/>
      </w:r>
      <w:r w:rsidRPr="00E841A5">
        <w:rPr>
          <w:rStyle w:val="EndnoteReference"/>
          <w:lang w:val="en-US"/>
        </w:rPr>
        <w:endnoteRef/>
      </w:r>
      <w:r w:rsidRPr="007A02B5">
        <w:rPr>
          <w:lang w:val="es-ES"/>
        </w:rPr>
        <w:tab/>
        <w:t xml:space="preserve">CEDAW/C/SUR/CO/4-6, para. </w:t>
      </w:r>
      <w:r w:rsidRPr="000B3B0C">
        <w:t>44.</w:t>
      </w:r>
    </w:p>
  </w:endnote>
  <w:endnote w:id="64">
    <w:p w14:paraId="1835A9FD"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10.</w:t>
      </w:r>
    </w:p>
  </w:endnote>
  <w:endnote w:id="65">
    <w:p w14:paraId="2FBF7DE7" w14:textId="77777777" w:rsidR="00DE1336" w:rsidRPr="007A02B5" w:rsidRDefault="00DE1336" w:rsidP="00056D32">
      <w:pPr>
        <w:pStyle w:val="EndnoteText"/>
        <w:rPr>
          <w:lang w:val="es-ES"/>
        </w:rPr>
      </w:pPr>
      <w:r w:rsidRPr="000B3B0C">
        <w:tab/>
      </w:r>
      <w:r w:rsidRPr="00E841A5">
        <w:rPr>
          <w:rStyle w:val="EndnoteReference"/>
          <w:lang w:val="en-US"/>
        </w:rPr>
        <w:endnoteRef/>
      </w:r>
      <w:r w:rsidRPr="007A02B5">
        <w:rPr>
          <w:lang w:val="es-ES"/>
        </w:rPr>
        <w:tab/>
        <w:t>CRC/C/SUR/CO/3-4, para. 33 (a).</w:t>
      </w:r>
    </w:p>
  </w:endnote>
  <w:endnote w:id="66">
    <w:p w14:paraId="3896ECF9"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28 (f).</w:t>
      </w:r>
    </w:p>
  </w:endnote>
  <w:endnote w:id="67">
    <w:p w14:paraId="1176FD57"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Ibid., para. </w:t>
      </w:r>
      <w:r w:rsidRPr="000B3B0C">
        <w:t>28 (b).</w:t>
      </w:r>
    </w:p>
  </w:endnote>
  <w:endnote w:id="68">
    <w:p w14:paraId="395978DE" w14:textId="77777777" w:rsidR="00DE1336" w:rsidRPr="000B3B0C" w:rsidRDefault="00DE1336" w:rsidP="00056D32">
      <w:pPr>
        <w:pStyle w:val="EndnoteText"/>
      </w:pPr>
      <w:r w:rsidRPr="000B3B0C">
        <w:tab/>
      </w:r>
      <w:r w:rsidRPr="00E841A5">
        <w:rPr>
          <w:rStyle w:val="EndnoteReference"/>
          <w:lang w:val="en-US"/>
        </w:rPr>
        <w:endnoteRef/>
      </w:r>
      <w:r w:rsidRPr="000B3B0C">
        <w:tab/>
        <w:t>For relevant recommendations, see A/HRC/33/4, paras. 133.86</w:t>
      </w:r>
      <w:r w:rsidRPr="000B3B0C">
        <w:rPr>
          <w:iCs/>
        </w:rPr>
        <w:t>–</w:t>
      </w:r>
      <w:r w:rsidRPr="000B3B0C">
        <w:t>133.89.</w:t>
      </w:r>
    </w:p>
  </w:endnote>
  <w:endnote w:id="69">
    <w:p w14:paraId="146FA2D8"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10.</w:t>
      </w:r>
    </w:p>
  </w:endnote>
  <w:endnote w:id="70">
    <w:p w14:paraId="7E3259D2" w14:textId="77777777" w:rsidR="00DE1336" w:rsidRPr="007A02B5" w:rsidRDefault="00DE1336" w:rsidP="00056D32">
      <w:pPr>
        <w:pStyle w:val="EndnoteText"/>
        <w:rPr>
          <w:lang w:val="es-ES"/>
        </w:rPr>
      </w:pPr>
      <w:r w:rsidRPr="000B3B0C">
        <w:tab/>
      </w:r>
      <w:r w:rsidRPr="00E841A5">
        <w:rPr>
          <w:rStyle w:val="EndnoteReference"/>
          <w:lang w:val="en-US"/>
        </w:rPr>
        <w:endnoteRef/>
      </w:r>
      <w:r w:rsidRPr="007A02B5">
        <w:rPr>
          <w:lang w:val="es-ES"/>
        </w:rPr>
        <w:tab/>
        <w:t>CEDAW/C/SUR/CO/4-6, para. 38 (a).</w:t>
      </w:r>
    </w:p>
  </w:endnote>
  <w:endnote w:id="71">
    <w:p w14:paraId="0856D3AA"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38 (b).</w:t>
      </w:r>
    </w:p>
  </w:endnote>
  <w:endnote w:id="72">
    <w:p w14:paraId="52F573D8"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CRC/C/SUR/CO/3-4, para. 28 (a).</w:t>
      </w:r>
    </w:p>
  </w:endnote>
  <w:endnote w:id="73">
    <w:p w14:paraId="3C0987DE"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30 (a)</w:t>
      </w:r>
      <w:r w:rsidRPr="007A02B5">
        <w:rPr>
          <w:iCs/>
          <w:lang w:val="es-ES"/>
        </w:rPr>
        <w:t>–</w:t>
      </w:r>
      <w:r w:rsidRPr="007A02B5">
        <w:rPr>
          <w:lang w:val="es-ES"/>
        </w:rPr>
        <w:t>(b).</w:t>
      </w:r>
    </w:p>
  </w:endnote>
  <w:endnote w:id="74">
    <w:p w14:paraId="13374589" w14:textId="77777777" w:rsidR="00DE1336" w:rsidRPr="000B3B0C" w:rsidRDefault="00DE1336" w:rsidP="00056D32">
      <w:pPr>
        <w:pStyle w:val="EndnoteText"/>
      </w:pPr>
      <w:r w:rsidRPr="007A02B5">
        <w:rPr>
          <w:lang w:val="es-ES"/>
        </w:rPr>
        <w:tab/>
      </w:r>
      <w:r w:rsidRPr="00E841A5">
        <w:rPr>
          <w:rStyle w:val="EndnoteReference"/>
          <w:lang w:val="en-US"/>
        </w:rPr>
        <w:endnoteRef/>
      </w:r>
      <w:r w:rsidRPr="000B3B0C">
        <w:tab/>
        <w:t>United Nations country team submission, p. 11.</w:t>
      </w:r>
    </w:p>
  </w:endnote>
  <w:endnote w:id="75">
    <w:p w14:paraId="2E90A0ED" w14:textId="77777777" w:rsidR="00DE1336" w:rsidRPr="000B3B0C" w:rsidRDefault="00DE1336" w:rsidP="00056D32">
      <w:pPr>
        <w:pStyle w:val="EndnoteText"/>
      </w:pPr>
      <w:r w:rsidRPr="000B3B0C">
        <w:tab/>
      </w:r>
      <w:r w:rsidRPr="00E841A5">
        <w:rPr>
          <w:rStyle w:val="EndnoteReference"/>
          <w:lang w:val="en-US"/>
        </w:rPr>
        <w:endnoteRef/>
      </w:r>
      <w:r w:rsidRPr="007A02B5">
        <w:rPr>
          <w:lang w:val="es-ES"/>
        </w:rPr>
        <w:tab/>
        <w:t xml:space="preserve">CRC/C/SUR/CO/3-4, para. </w:t>
      </w:r>
      <w:r w:rsidRPr="000B3B0C">
        <w:t xml:space="preserve">31 (b). See also CEDAW/C/SUR/CO/4-6, para. 34 (e); </w:t>
      </w:r>
      <w:r>
        <w:t xml:space="preserve">and the </w:t>
      </w:r>
      <w:r w:rsidRPr="000B3B0C">
        <w:t>United Nations country team submission, p. 11.</w:t>
      </w:r>
    </w:p>
  </w:endnote>
  <w:endnote w:id="76">
    <w:p w14:paraId="1CF9E87A" w14:textId="77777777" w:rsidR="00DE1336" w:rsidRPr="007A02B5" w:rsidRDefault="00DE1336" w:rsidP="00056D32">
      <w:pPr>
        <w:pStyle w:val="EndnoteText"/>
        <w:rPr>
          <w:lang w:val="es-ES"/>
        </w:rPr>
      </w:pPr>
      <w:r w:rsidRPr="000B3B0C">
        <w:tab/>
      </w:r>
      <w:r w:rsidRPr="00E841A5">
        <w:rPr>
          <w:rStyle w:val="EndnoteReference"/>
          <w:lang w:val="en-US"/>
        </w:rPr>
        <w:endnoteRef/>
      </w:r>
      <w:r w:rsidRPr="000B3B0C">
        <w:tab/>
        <w:t xml:space="preserve">CEDAW/C/SUR/CO/4-6, para. </w:t>
      </w:r>
      <w:r w:rsidRPr="007A02B5">
        <w:rPr>
          <w:lang w:val="es-ES"/>
        </w:rPr>
        <w:t>38 (c).</w:t>
      </w:r>
    </w:p>
  </w:endnote>
  <w:endnote w:id="77">
    <w:p w14:paraId="2C2A5C75"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39 (e).</w:t>
      </w:r>
    </w:p>
  </w:endnote>
  <w:endnote w:id="78">
    <w:p w14:paraId="79E8C8F9"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CRC/C/SUR/CO/3-4, para. </w:t>
      </w:r>
      <w:r w:rsidRPr="000B3B0C">
        <w:t>28 (d).</w:t>
      </w:r>
    </w:p>
  </w:endnote>
  <w:endnote w:id="79">
    <w:p w14:paraId="0220AF54"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11.</w:t>
      </w:r>
    </w:p>
  </w:endnote>
  <w:endnote w:id="80">
    <w:p w14:paraId="4C04F5EF" w14:textId="77777777" w:rsidR="00DE1336" w:rsidRPr="007A02B5" w:rsidRDefault="00DE1336" w:rsidP="00056D32">
      <w:pPr>
        <w:pStyle w:val="EndnoteText"/>
        <w:rPr>
          <w:lang w:val="es-ES"/>
        </w:rPr>
      </w:pPr>
      <w:r w:rsidRPr="000B3B0C">
        <w:tab/>
      </w:r>
      <w:r w:rsidRPr="00E841A5">
        <w:rPr>
          <w:rStyle w:val="EndnoteReference"/>
          <w:lang w:val="en-US"/>
        </w:rPr>
        <w:endnoteRef/>
      </w:r>
      <w:r w:rsidRPr="007A02B5">
        <w:rPr>
          <w:lang w:val="es-ES"/>
        </w:rPr>
        <w:tab/>
        <w:t>Ibid., p. 10.</w:t>
      </w:r>
    </w:p>
  </w:endnote>
  <w:endnote w:id="81">
    <w:p w14:paraId="2AD7A0A9"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CRC/C/SUR/CO/3-4, para. </w:t>
      </w:r>
      <w:r w:rsidRPr="000B3B0C">
        <w:t>29 (b).</w:t>
      </w:r>
    </w:p>
  </w:endnote>
  <w:endnote w:id="82">
    <w:p w14:paraId="776500E3"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11.</w:t>
      </w:r>
    </w:p>
  </w:endnote>
  <w:endnote w:id="83">
    <w:p w14:paraId="09760E3E" w14:textId="77777777" w:rsidR="00DE1336" w:rsidRPr="000B3B0C" w:rsidRDefault="00DE1336" w:rsidP="00056D32">
      <w:pPr>
        <w:pStyle w:val="EndnoteText"/>
      </w:pPr>
      <w:r w:rsidRPr="000B3B0C">
        <w:tab/>
      </w:r>
      <w:r w:rsidRPr="00E841A5">
        <w:rPr>
          <w:rStyle w:val="EndnoteReference"/>
          <w:lang w:val="en-US"/>
        </w:rPr>
        <w:endnoteRef/>
      </w:r>
      <w:r w:rsidRPr="000B3B0C">
        <w:tab/>
        <w:t>For relevant recommendations</w:t>
      </w:r>
      <w:r>
        <w:t>,</w:t>
      </w:r>
      <w:r w:rsidRPr="000B3B0C">
        <w:t xml:space="preserve"> see A/HRC/33/4, paras. 133.90</w:t>
      </w:r>
      <w:r w:rsidRPr="000B3B0C">
        <w:rPr>
          <w:iCs/>
        </w:rPr>
        <w:t>–</w:t>
      </w:r>
      <w:r w:rsidRPr="000B3B0C">
        <w:t>133.95 and 135.41.</w:t>
      </w:r>
    </w:p>
  </w:endnote>
  <w:endnote w:id="84">
    <w:p w14:paraId="0BC36E53" w14:textId="77777777" w:rsidR="00DE1336" w:rsidRPr="007A02B5" w:rsidRDefault="00DE1336" w:rsidP="00056D32">
      <w:pPr>
        <w:pStyle w:val="EndnoteText"/>
        <w:rPr>
          <w:lang w:val="es-ES"/>
        </w:rPr>
      </w:pPr>
      <w:r w:rsidRPr="000B3B0C">
        <w:tab/>
      </w:r>
      <w:r w:rsidRPr="00E841A5">
        <w:rPr>
          <w:rStyle w:val="EndnoteReference"/>
          <w:lang w:val="en-US"/>
        </w:rPr>
        <w:endnoteRef/>
      </w:r>
      <w:r w:rsidRPr="00DE1336">
        <w:rPr>
          <w:lang w:val="es-ES"/>
        </w:rPr>
        <w:tab/>
        <w:t xml:space="preserve">CRC/C/SUR/CO/3-4, para. </w:t>
      </w:r>
      <w:r w:rsidRPr="007A02B5">
        <w:rPr>
          <w:lang w:val="es-ES"/>
        </w:rPr>
        <w:t>34 (b).</w:t>
      </w:r>
    </w:p>
  </w:endnote>
  <w:endnote w:id="85">
    <w:p w14:paraId="0D4A6721"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34 (c).</w:t>
      </w:r>
    </w:p>
  </w:endnote>
  <w:endnote w:id="86">
    <w:p w14:paraId="12AB460F"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CEDAW/C/SUR/CO/4-6, para. 34 (b).</w:t>
      </w:r>
    </w:p>
  </w:endnote>
  <w:endnote w:id="87">
    <w:p w14:paraId="21B37DBA"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CRC/C/SUR/CO/3-4, para. </w:t>
      </w:r>
      <w:r w:rsidRPr="000B3B0C">
        <w:t>34 (d).</w:t>
      </w:r>
    </w:p>
  </w:endnote>
  <w:endnote w:id="88">
    <w:p w14:paraId="7F2CE696"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11.</w:t>
      </w:r>
    </w:p>
  </w:endnote>
  <w:endnote w:id="89">
    <w:p w14:paraId="056DD8CB" w14:textId="77777777" w:rsidR="00DE1336" w:rsidRPr="007A02B5" w:rsidRDefault="00DE1336" w:rsidP="00056D32">
      <w:pPr>
        <w:pStyle w:val="EndnoteText"/>
        <w:rPr>
          <w:lang w:val="es-ES"/>
        </w:rPr>
      </w:pPr>
      <w:r w:rsidRPr="000B3B0C">
        <w:tab/>
      </w:r>
      <w:r w:rsidRPr="00E841A5">
        <w:rPr>
          <w:rStyle w:val="EndnoteReference"/>
          <w:lang w:val="en-US"/>
        </w:rPr>
        <w:endnoteRef/>
      </w:r>
      <w:r w:rsidRPr="007A02B5">
        <w:rPr>
          <w:lang w:val="es-ES"/>
        </w:rPr>
        <w:tab/>
        <w:t>CEDAW/C/SUR/CO/4-6, para. 34 (d).</w:t>
      </w:r>
    </w:p>
  </w:endnote>
  <w:endnote w:id="90">
    <w:p w14:paraId="2FE909BA"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paras. 34 (f) and 35 (e).</w:t>
      </w:r>
    </w:p>
  </w:endnote>
  <w:endnote w:id="91">
    <w:p w14:paraId="040D9E83"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34 (c).</w:t>
      </w:r>
    </w:p>
  </w:endnote>
  <w:endnote w:id="92">
    <w:p w14:paraId="561DDF79"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CRC/C/SUR/CO/3-4, para. </w:t>
      </w:r>
      <w:r w:rsidRPr="000B3B0C">
        <w:t>35 (a).</w:t>
      </w:r>
    </w:p>
  </w:endnote>
  <w:endnote w:id="93">
    <w:p w14:paraId="70F72F4E"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11.</w:t>
      </w:r>
    </w:p>
  </w:endnote>
  <w:endnote w:id="94">
    <w:p w14:paraId="5AC026D2" w14:textId="77777777" w:rsidR="00DE1336" w:rsidRPr="000B3B0C" w:rsidRDefault="00DE1336" w:rsidP="00056D32">
      <w:pPr>
        <w:pStyle w:val="EndnoteText"/>
      </w:pPr>
      <w:r w:rsidRPr="000B3B0C">
        <w:tab/>
      </w:r>
      <w:r w:rsidRPr="00E841A5">
        <w:rPr>
          <w:rStyle w:val="EndnoteReference"/>
          <w:lang w:val="en-US"/>
        </w:rPr>
        <w:endnoteRef/>
      </w:r>
      <w:r w:rsidRPr="000B3B0C">
        <w:tab/>
        <w:t>See www.ilo.org/dyn/normlex/en/f?p=1000:13100:0::NO:13100:P13100_COMMENT_ID:3289947:NO.</w:t>
      </w:r>
    </w:p>
  </w:endnote>
  <w:endnote w:id="95">
    <w:p w14:paraId="233823A0" w14:textId="77777777" w:rsidR="00DE1336" w:rsidRPr="000B3B0C" w:rsidRDefault="00DE1336" w:rsidP="00056D32">
      <w:pPr>
        <w:pStyle w:val="EndnoteText"/>
      </w:pPr>
      <w:r w:rsidRPr="000B3B0C">
        <w:tab/>
      </w:r>
      <w:r w:rsidRPr="00E841A5">
        <w:rPr>
          <w:rStyle w:val="EndnoteReference"/>
          <w:lang w:val="en-US"/>
        </w:rPr>
        <w:endnoteRef/>
      </w:r>
      <w:r w:rsidRPr="000B3B0C">
        <w:tab/>
        <w:t>For relevant recommendations, see A/HRC/33/4, paras. 133.42</w:t>
      </w:r>
      <w:r w:rsidRPr="000B3B0C">
        <w:rPr>
          <w:iCs/>
        </w:rPr>
        <w:t>–</w:t>
      </w:r>
      <w:r w:rsidRPr="000B3B0C">
        <w:t>133.54 and 133.67</w:t>
      </w:r>
      <w:r w:rsidRPr="000B3B0C">
        <w:rPr>
          <w:iCs/>
        </w:rPr>
        <w:t>–</w:t>
      </w:r>
      <w:r w:rsidRPr="000B3B0C">
        <w:t>133.68.</w:t>
      </w:r>
    </w:p>
  </w:endnote>
  <w:endnote w:id="96">
    <w:p w14:paraId="12078D9C"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6.</w:t>
      </w:r>
    </w:p>
  </w:endnote>
  <w:endnote w:id="97">
    <w:p w14:paraId="150BBC42" w14:textId="77777777" w:rsidR="00DE1336" w:rsidRPr="000B3B0C" w:rsidRDefault="00DE1336" w:rsidP="00056D32">
      <w:pPr>
        <w:pStyle w:val="EndnoteText"/>
      </w:pPr>
      <w:r w:rsidRPr="000B3B0C">
        <w:tab/>
      </w:r>
      <w:r w:rsidRPr="00E841A5">
        <w:rPr>
          <w:rStyle w:val="EndnoteReference"/>
          <w:lang w:val="en-US"/>
        </w:rPr>
        <w:endnoteRef/>
      </w:r>
      <w:r w:rsidRPr="007A02B5">
        <w:rPr>
          <w:lang w:val="es-ES"/>
        </w:rPr>
        <w:tab/>
        <w:t xml:space="preserve">CEDAW/C/SUR/CO/4-6, para. </w:t>
      </w:r>
      <w:r w:rsidRPr="000B3B0C">
        <w:t>13 (b).</w:t>
      </w:r>
    </w:p>
  </w:endnote>
  <w:endnote w:id="98">
    <w:p w14:paraId="4A6AC06F" w14:textId="77777777" w:rsidR="00DE1336" w:rsidRPr="000B3B0C" w:rsidRDefault="00DE1336" w:rsidP="00056D32">
      <w:pPr>
        <w:pStyle w:val="EndnoteText"/>
      </w:pPr>
      <w:r w:rsidRPr="000B3B0C">
        <w:tab/>
      </w:r>
      <w:r w:rsidRPr="00E841A5">
        <w:rPr>
          <w:rStyle w:val="EndnoteReference"/>
          <w:lang w:val="en-US"/>
        </w:rPr>
        <w:endnoteRef/>
      </w:r>
      <w:r w:rsidRPr="000B3B0C">
        <w:tab/>
        <w:t>Ibid., para. 27 (b).</w:t>
      </w:r>
    </w:p>
  </w:endnote>
  <w:endnote w:id="99">
    <w:p w14:paraId="50C619CD"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6.</w:t>
      </w:r>
    </w:p>
  </w:endnote>
  <w:endnote w:id="100">
    <w:p w14:paraId="79092C5F" w14:textId="77777777" w:rsidR="00DE1336" w:rsidRPr="007A02B5" w:rsidRDefault="00DE1336" w:rsidP="00056D32">
      <w:pPr>
        <w:pStyle w:val="EndnoteText"/>
        <w:rPr>
          <w:lang w:val="es-ES"/>
        </w:rPr>
      </w:pPr>
      <w:r w:rsidRPr="000B3B0C">
        <w:tab/>
      </w:r>
      <w:r w:rsidRPr="00E841A5">
        <w:rPr>
          <w:rStyle w:val="EndnoteReference"/>
          <w:lang w:val="en-US"/>
        </w:rPr>
        <w:endnoteRef/>
      </w:r>
      <w:r w:rsidRPr="007A02B5">
        <w:rPr>
          <w:lang w:val="es-ES"/>
        </w:rPr>
        <w:tab/>
        <w:t>CEDAW/C/SUR/CO/4-6, para. 24.</w:t>
      </w:r>
    </w:p>
  </w:endnote>
  <w:endnote w:id="101">
    <w:p w14:paraId="3F0306DB"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52 (b).</w:t>
      </w:r>
    </w:p>
  </w:endnote>
  <w:endnote w:id="102">
    <w:p w14:paraId="5154BE97"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CRC/C/SUR/CO/3-4, para. </w:t>
      </w:r>
      <w:r w:rsidRPr="000B3B0C">
        <w:t>13. See also United Nations country team submission, p. 7.</w:t>
      </w:r>
    </w:p>
  </w:endnote>
  <w:endnote w:id="103">
    <w:p w14:paraId="1D0BBABE" w14:textId="77777777" w:rsidR="00DE1336" w:rsidRPr="000B3B0C" w:rsidRDefault="00DE1336" w:rsidP="00056D32">
      <w:pPr>
        <w:pStyle w:val="EndnoteText"/>
      </w:pPr>
      <w:r w:rsidRPr="000B3B0C">
        <w:tab/>
      </w:r>
      <w:r w:rsidRPr="00E841A5">
        <w:rPr>
          <w:rStyle w:val="EndnoteReference"/>
          <w:lang w:val="en-US"/>
        </w:rPr>
        <w:endnoteRef/>
      </w:r>
      <w:r w:rsidRPr="007A02B5">
        <w:rPr>
          <w:lang w:val="es-ES"/>
        </w:rPr>
        <w:tab/>
        <w:t xml:space="preserve">CEDAW/C/SUR/CO/4-6, para. </w:t>
      </w:r>
      <w:r w:rsidRPr="000B3B0C">
        <w:t>30.</w:t>
      </w:r>
    </w:p>
  </w:endnote>
  <w:endnote w:id="104">
    <w:p w14:paraId="4F314C00" w14:textId="77777777" w:rsidR="00DE1336" w:rsidRPr="000B3B0C" w:rsidRDefault="00DE1336" w:rsidP="00056D32">
      <w:pPr>
        <w:pStyle w:val="EndnoteText"/>
      </w:pPr>
      <w:r w:rsidRPr="000B3B0C">
        <w:tab/>
      </w:r>
      <w:r w:rsidRPr="00E841A5">
        <w:rPr>
          <w:rStyle w:val="EndnoteReference"/>
          <w:lang w:val="en-US"/>
        </w:rPr>
        <w:endnoteRef/>
      </w:r>
      <w:r w:rsidRPr="000B3B0C">
        <w:tab/>
        <w:t>For relevant recommendations, see A/HRC/33/4, paras. 133.70</w:t>
      </w:r>
      <w:r w:rsidRPr="000B3B0C">
        <w:rPr>
          <w:iCs/>
        </w:rPr>
        <w:t>–</w:t>
      </w:r>
      <w:r w:rsidRPr="000B3B0C">
        <w:t>133.74, 133.84 and 135.35</w:t>
      </w:r>
      <w:r w:rsidRPr="000B3B0C">
        <w:rPr>
          <w:iCs/>
        </w:rPr>
        <w:t>–</w:t>
      </w:r>
      <w:r w:rsidRPr="000B3B0C">
        <w:t>135.39.</w:t>
      </w:r>
    </w:p>
  </w:endnote>
  <w:endnote w:id="105">
    <w:p w14:paraId="1EAD843D" w14:textId="77777777" w:rsidR="00DE1336" w:rsidRPr="000B3B0C" w:rsidRDefault="00DE1336" w:rsidP="00056D32">
      <w:pPr>
        <w:pStyle w:val="EndnoteText"/>
      </w:pPr>
      <w:r w:rsidRPr="000B3B0C">
        <w:tab/>
      </w:r>
      <w:r w:rsidRPr="00E841A5">
        <w:rPr>
          <w:rStyle w:val="EndnoteReference"/>
          <w:lang w:val="en-US"/>
        </w:rPr>
        <w:endnoteRef/>
      </w:r>
      <w:r w:rsidRPr="00DE1336">
        <w:rPr>
          <w:lang w:val="es-ES"/>
        </w:rPr>
        <w:tab/>
        <w:t xml:space="preserve">CRC/C/SUR/CO/3-4, para. </w:t>
      </w:r>
      <w:r w:rsidRPr="000B3B0C">
        <w:t>19 (b) and (d).</w:t>
      </w:r>
    </w:p>
  </w:endnote>
  <w:endnote w:id="106">
    <w:p w14:paraId="0837B009" w14:textId="77777777" w:rsidR="00DE1336" w:rsidRPr="007A02B5" w:rsidRDefault="00DE1336" w:rsidP="00056D32">
      <w:pPr>
        <w:pStyle w:val="EndnoteText"/>
        <w:rPr>
          <w:lang w:val="es-ES"/>
        </w:rPr>
      </w:pPr>
      <w:r w:rsidRPr="000B3B0C">
        <w:tab/>
      </w:r>
      <w:r w:rsidRPr="00E841A5">
        <w:rPr>
          <w:rStyle w:val="EndnoteReference"/>
          <w:lang w:val="en-US"/>
        </w:rPr>
        <w:endnoteRef/>
      </w:r>
      <w:r w:rsidRPr="000B3B0C">
        <w:tab/>
        <w:t xml:space="preserve">Ibid., para. </w:t>
      </w:r>
      <w:r w:rsidRPr="007A02B5">
        <w:rPr>
          <w:lang w:val="es-ES"/>
        </w:rPr>
        <w:t>19 (f).</w:t>
      </w:r>
    </w:p>
  </w:endnote>
  <w:endnote w:id="107">
    <w:p w14:paraId="655745EC"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19 (g).</w:t>
      </w:r>
    </w:p>
  </w:endnote>
  <w:endnote w:id="108">
    <w:p w14:paraId="49282010"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20.</w:t>
      </w:r>
    </w:p>
  </w:endnote>
  <w:endnote w:id="109">
    <w:p w14:paraId="1F24F9FD"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21 (a).</w:t>
      </w:r>
    </w:p>
  </w:endnote>
  <w:endnote w:id="110">
    <w:p w14:paraId="0F547859"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21 (d).</w:t>
      </w:r>
    </w:p>
  </w:endnote>
  <w:endnote w:id="111">
    <w:p w14:paraId="0ECEAB4F"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24 (a).</w:t>
      </w:r>
    </w:p>
  </w:endnote>
  <w:endnote w:id="112">
    <w:p w14:paraId="3F62483D"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Ibid., para. </w:t>
      </w:r>
      <w:r w:rsidRPr="000B3B0C">
        <w:t>24 (d).</w:t>
      </w:r>
    </w:p>
  </w:endnote>
  <w:endnote w:id="113">
    <w:p w14:paraId="1F154643"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7.</w:t>
      </w:r>
    </w:p>
  </w:endnote>
  <w:endnote w:id="114">
    <w:p w14:paraId="07FB08E1" w14:textId="77777777" w:rsidR="00DE1336" w:rsidRPr="000B3B0C" w:rsidRDefault="00DE1336" w:rsidP="00056D32">
      <w:pPr>
        <w:pStyle w:val="EndnoteText"/>
      </w:pPr>
      <w:r w:rsidRPr="000B3B0C">
        <w:tab/>
      </w:r>
      <w:r w:rsidRPr="00E841A5">
        <w:rPr>
          <w:rStyle w:val="EndnoteReference"/>
          <w:lang w:val="en-US"/>
        </w:rPr>
        <w:endnoteRef/>
      </w:r>
      <w:r w:rsidRPr="007A02B5">
        <w:rPr>
          <w:lang w:val="es-ES"/>
        </w:rPr>
        <w:tab/>
        <w:t xml:space="preserve">CRC/C/SUR/CO/3-4, para. </w:t>
      </w:r>
      <w:r w:rsidRPr="000B3B0C">
        <w:t>37.</w:t>
      </w:r>
    </w:p>
  </w:endnote>
  <w:endnote w:id="115">
    <w:p w14:paraId="51A81C99" w14:textId="77777777" w:rsidR="00DE1336" w:rsidRPr="000B3B0C" w:rsidRDefault="00DE1336" w:rsidP="00056D32">
      <w:pPr>
        <w:pStyle w:val="EndnoteText"/>
      </w:pPr>
      <w:r w:rsidRPr="000B3B0C">
        <w:tab/>
      </w:r>
      <w:r w:rsidRPr="00E841A5">
        <w:rPr>
          <w:rStyle w:val="EndnoteReference"/>
          <w:lang w:val="en-US"/>
        </w:rPr>
        <w:endnoteRef/>
      </w:r>
      <w:r w:rsidRPr="000B3B0C">
        <w:tab/>
        <w:t>Ibid., para. 38 (c).</w:t>
      </w:r>
    </w:p>
  </w:endnote>
  <w:endnote w:id="116">
    <w:p w14:paraId="18A11761" w14:textId="77777777" w:rsidR="00DE1336" w:rsidRPr="000B3B0C" w:rsidRDefault="00DE1336" w:rsidP="00056D32">
      <w:pPr>
        <w:pStyle w:val="EndnoteText"/>
      </w:pPr>
      <w:r w:rsidRPr="000B3B0C">
        <w:tab/>
      </w:r>
      <w:r w:rsidRPr="00E841A5">
        <w:rPr>
          <w:rStyle w:val="EndnoteReference"/>
          <w:lang w:val="en-US"/>
        </w:rPr>
        <w:endnoteRef/>
      </w:r>
      <w:r w:rsidRPr="000B3B0C">
        <w:tab/>
        <w:t xml:space="preserve">For </w:t>
      </w:r>
      <w:r>
        <w:t xml:space="preserve">the </w:t>
      </w:r>
      <w:r w:rsidRPr="000B3B0C">
        <w:t>relevant recommendation, see A/HRC/33/4, para. 135.42.</w:t>
      </w:r>
    </w:p>
  </w:endnote>
  <w:endnote w:id="117">
    <w:p w14:paraId="017CE215"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8.</w:t>
      </w:r>
    </w:p>
  </w:endnote>
  <w:endnote w:id="118">
    <w:p w14:paraId="59D0DEA9" w14:textId="77777777" w:rsidR="00DE1336" w:rsidRPr="007A02B5" w:rsidRDefault="00DE1336" w:rsidP="00056D32">
      <w:pPr>
        <w:pStyle w:val="EndnoteText"/>
        <w:rPr>
          <w:lang w:val="es-ES"/>
        </w:rPr>
      </w:pPr>
      <w:r w:rsidRPr="000B3B0C">
        <w:tab/>
      </w:r>
      <w:r w:rsidRPr="00E841A5">
        <w:rPr>
          <w:rStyle w:val="EndnoteReference"/>
          <w:lang w:val="en-US"/>
        </w:rPr>
        <w:endnoteRef/>
      </w:r>
      <w:r w:rsidRPr="007A02B5">
        <w:rPr>
          <w:lang w:val="es-ES"/>
        </w:rPr>
        <w:tab/>
        <w:t>CRC/C/SUR/CO/3-4, para. 26 (b).</w:t>
      </w:r>
    </w:p>
  </w:endnote>
  <w:endnote w:id="119">
    <w:p w14:paraId="6506E9FC"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27.</w:t>
      </w:r>
    </w:p>
  </w:endnote>
  <w:endnote w:id="120">
    <w:p w14:paraId="5247BA69"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27 (a).</w:t>
      </w:r>
    </w:p>
  </w:endnote>
  <w:endnote w:id="121">
    <w:p w14:paraId="2908C8F7"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27 (c).</w:t>
      </w:r>
    </w:p>
  </w:endnote>
  <w:endnote w:id="122">
    <w:p w14:paraId="355409CF"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27 (d).</w:t>
      </w:r>
    </w:p>
  </w:endnote>
  <w:endnote w:id="123">
    <w:p w14:paraId="65DB9805"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Ibid., para. 27 (e).</w:t>
      </w:r>
    </w:p>
  </w:endnote>
  <w:endnote w:id="124">
    <w:p w14:paraId="142221DB"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Ibid., para. </w:t>
      </w:r>
      <w:r w:rsidRPr="000B3B0C">
        <w:t>27 (f).</w:t>
      </w:r>
    </w:p>
  </w:endnote>
  <w:endnote w:id="125">
    <w:p w14:paraId="32B77014" w14:textId="77777777" w:rsidR="00DE1336" w:rsidRPr="000B3B0C" w:rsidRDefault="00DE1336" w:rsidP="00056D32">
      <w:pPr>
        <w:pStyle w:val="EndnoteText"/>
      </w:pPr>
      <w:r w:rsidRPr="000B3B0C">
        <w:tab/>
      </w:r>
      <w:r w:rsidRPr="00E841A5">
        <w:rPr>
          <w:rStyle w:val="EndnoteReference"/>
          <w:lang w:val="en-US"/>
        </w:rPr>
        <w:endnoteRef/>
      </w:r>
      <w:r w:rsidRPr="000B3B0C">
        <w:tab/>
        <w:t>For relevant recommendations, see A/HRC/33/4, paras. 133.96</w:t>
      </w:r>
      <w:r w:rsidRPr="000B3B0C">
        <w:rPr>
          <w:iCs/>
        </w:rPr>
        <w:t>–</w:t>
      </w:r>
      <w:r w:rsidRPr="000B3B0C">
        <w:t>133.101.</w:t>
      </w:r>
    </w:p>
  </w:endnote>
  <w:endnote w:id="126">
    <w:p w14:paraId="086D8B7E" w14:textId="77777777" w:rsidR="00DE1336" w:rsidRPr="000B3B0C" w:rsidRDefault="00DE1336" w:rsidP="00056D32">
      <w:pPr>
        <w:pStyle w:val="EndnoteText"/>
      </w:pPr>
      <w:r w:rsidRPr="000B3B0C">
        <w:tab/>
      </w:r>
      <w:r w:rsidRPr="00E841A5">
        <w:rPr>
          <w:rStyle w:val="EndnoteReference"/>
          <w:lang w:val="en-US"/>
        </w:rPr>
        <w:endnoteRef/>
      </w:r>
      <w:r w:rsidRPr="000B3B0C">
        <w:tab/>
        <w:t>United Nations country team submission, p. 8</w:t>
      </w:r>
    </w:p>
  </w:endnote>
  <w:endnote w:id="127">
    <w:p w14:paraId="45F2DC23" w14:textId="77777777" w:rsidR="00DE1336" w:rsidRPr="007A02B5" w:rsidRDefault="00DE1336" w:rsidP="00056D32">
      <w:pPr>
        <w:pStyle w:val="EndnoteText"/>
        <w:rPr>
          <w:lang w:val="es-ES"/>
        </w:rPr>
      </w:pPr>
      <w:r w:rsidRPr="000B3B0C">
        <w:tab/>
      </w:r>
      <w:r w:rsidRPr="00E841A5">
        <w:rPr>
          <w:rStyle w:val="EndnoteReference"/>
          <w:lang w:val="en-US"/>
        </w:rPr>
        <w:endnoteRef/>
      </w:r>
      <w:r w:rsidRPr="007A02B5">
        <w:rPr>
          <w:lang w:val="es-ES"/>
        </w:rPr>
        <w:tab/>
        <w:t>Ibid., p. 9.</w:t>
      </w:r>
    </w:p>
  </w:endnote>
  <w:endnote w:id="128">
    <w:p w14:paraId="3E165C75" w14:textId="77777777" w:rsidR="00DE1336" w:rsidRPr="000B3B0C" w:rsidRDefault="00DE1336" w:rsidP="00056D32">
      <w:pPr>
        <w:pStyle w:val="EndnoteText"/>
      </w:pPr>
      <w:r w:rsidRPr="007A02B5">
        <w:rPr>
          <w:lang w:val="es-ES"/>
        </w:rPr>
        <w:tab/>
      </w:r>
      <w:r w:rsidRPr="00E841A5">
        <w:rPr>
          <w:rStyle w:val="EndnoteReference"/>
          <w:lang w:val="en-US"/>
        </w:rPr>
        <w:endnoteRef/>
      </w:r>
      <w:r w:rsidRPr="007A02B5">
        <w:rPr>
          <w:lang w:val="es-ES"/>
        </w:rPr>
        <w:tab/>
        <w:t xml:space="preserve">CEDAW/C/SUR/CO/4-6, para. </w:t>
      </w:r>
      <w:r w:rsidRPr="000B3B0C">
        <w:t>44.</w:t>
      </w:r>
    </w:p>
  </w:endnote>
  <w:endnote w:id="129">
    <w:p w14:paraId="4B04DC67" w14:textId="77777777" w:rsidR="00DE1336" w:rsidRPr="000B3B0C" w:rsidRDefault="00DE1336" w:rsidP="00056D32">
      <w:pPr>
        <w:pStyle w:val="EndnoteText"/>
      </w:pPr>
      <w:r w:rsidRPr="000B3B0C">
        <w:tab/>
      </w:r>
      <w:r w:rsidRPr="00E841A5">
        <w:rPr>
          <w:rStyle w:val="EndnoteReference"/>
          <w:lang w:val="en-US"/>
        </w:rPr>
        <w:endnoteRef/>
      </w:r>
      <w:r w:rsidRPr="000B3B0C">
        <w:tab/>
        <w:t>Ibid., para. 48.</w:t>
      </w:r>
    </w:p>
  </w:endnote>
  <w:endnote w:id="130">
    <w:p w14:paraId="4D13AAD8" w14:textId="77777777" w:rsidR="00DE1336" w:rsidRPr="000B3B0C" w:rsidRDefault="00DE1336" w:rsidP="00056D32">
      <w:pPr>
        <w:pStyle w:val="EndnoteText"/>
      </w:pPr>
      <w:r w:rsidRPr="000B3B0C">
        <w:tab/>
      </w:r>
      <w:r w:rsidRPr="00E841A5">
        <w:rPr>
          <w:rStyle w:val="EndnoteReference"/>
          <w:lang w:val="en-US"/>
        </w:rPr>
        <w:endnoteRef/>
      </w:r>
      <w:r w:rsidRPr="000B3B0C">
        <w:tab/>
        <w:t>UNHCR submission, p. 3.</w:t>
      </w:r>
    </w:p>
  </w:endnote>
  <w:endnote w:id="131">
    <w:p w14:paraId="153CF537" w14:textId="77777777" w:rsidR="00DE1336" w:rsidRPr="000B3B0C" w:rsidRDefault="00DE1336" w:rsidP="00056D32">
      <w:pPr>
        <w:pStyle w:val="EndnoteText"/>
      </w:pPr>
      <w:r w:rsidRPr="000B3B0C">
        <w:tab/>
      </w:r>
      <w:r w:rsidRPr="00E841A5">
        <w:rPr>
          <w:rStyle w:val="EndnoteReference"/>
          <w:lang w:val="en-US"/>
        </w:rPr>
        <w:endnoteRef/>
      </w:r>
      <w:r w:rsidRPr="000B3B0C">
        <w:tab/>
        <w:t>Ibid.</w:t>
      </w:r>
    </w:p>
  </w:endnote>
  <w:endnote w:id="132">
    <w:p w14:paraId="1679B131" w14:textId="77777777" w:rsidR="00DE1336" w:rsidRPr="000B3B0C" w:rsidRDefault="00DE1336" w:rsidP="00056D32">
      <w:pPr>
        <w:pStyle w:val="EndnoteText"/>
      </w:pPr>
      <w:r w:rsidRPr="000B3B0C">
        <w:tab/>
      </w:r>
      <w:r w:rsidRPr="00E841A5">
        <w:rPr>
          <w:rStyle w:val="EndnoteReference"/>
          <w:lang w:val="en-US"/>
        </w:rPr>
        <w:endnoteRef/>
      </w:r>
      <w:r w:rsidRPr="000B3B0C">
        <w:tab/>
        <w:t>Ibid.</w:t>
      </w:r>
    </w:p>
  </w:endnote>
  <w:endnote w:id="133">
    <w:p w14:paraId="6595B845" w14:textId="77777777" w:rsidR="00DE1336" w:rsidRPr="000B3B0C" w:rsidRDefault="00DE1336" w:rsidP="00056D32">
      <w:pPr>
        <w:pStyle w:val="EndnoteText"/>
      </w:pPr>
      <w:r w:rsidRPr="000B3B0C">
        <w:tab/>
      </w:r>
      <w:r w:rsidRPr="00E841A5">
        <w:rPr>
          <w:rStyle w:val="EndnoteReference"/>
          <w:lang w:val="en-US"/>
        </w:rPr>
        <w:endnoteRef/>
      </w:r>
      <w:r w:rsidRPr="000B3B0C">
        <w:tab/>
        <w:t>Ibid., p. 5.</w:t>
      </w:r>
    </w:p>
  </w:endnote>
  <w:endnote w:id="134">
    <w:p w14:paraId="3B3A0F99" w14:textId="77777777" w:rsidR="00DE1336" w:rsidRPr="000B3B0C" w:rsidRDefault="00DE1336" w:rsidP="00056D32">
      <w:pPr>
        <w:pStyle w:val="EndnoteText"/>
      </w:pPr>
      <w:r w:rsidRPr="000B3B0C">
        <w:tab/>
      </w:r>
      <w:r w:rsidRPr="00E841A5">
        <w:rPr>
          <w:rStyle w:val="EndnoteReference"/>
          <w:lang w:val="en-US"/>
        </w:rPr>
        <w:endnoteRef/>
      </w:r>
      <w:r w:rsidRPr="000B3B0C">
        <w:tab/>
        <w:t>Ibid., p. 3.</w:t>
      </w:r>
    </w:p>
  </w:endnote>
  <w:endnote w:id="135">
    <w:p w14:paraId="497F03F3" w14:textId="77777777" w:rsidR="00DE1336" w:rsidRPr="000B3B0C" w:rsidRDefault="00DE1336" w:rsidP="00056D32">
      <w:pPr>
        <w:pStyle w:val="EndnoteText"/>
      </w:pPr>
      <w:r w:rsidRPr="000B3B0C">
        <w:tab/>
      </w:r>
      <w:r w:rsidRPr="00E841A5">
        <w:rPr>
          <w:rStyle w:val="EndnoteReference"/>
          <w:lang w:val="en-US"/>
        </w:rPr>
        <w:endnoteRef/>
      </w:r>
      <w:r w:rsidRPr="00DE1336">
        <w:rPr>
          <w:lang w:val="es-ES"/>
        </w:rPr>
        <w:tab/>
        <w:t xml:space="preserve">CEDAW/C/SUR/CO/4-6, para. </w:t>
      </w:r>
      <w:r w:rsidRPr="000B3B0C">
        <w:t>48.</w:t>
      </w:r>
    </w:p>
  </w:endnote>
  <w:endnote w:id="136">
    <w:p w14:paraId="3F64C23E" w14:textId="77777777" w:rsidR="00DE1336" w:rsidRPr="000B3B0C" w:rsidRDefault="00DE1336" w:rsidP="00056D32">
      <w:pPr>
        <w:pStyle w:val="EndnoteText"/>
      </w:pPr>
      <w:r w:rsidRPr="000B3B0C">
        <w:tab/>
      </w:r>
      <w:r w:rsidRPr="00E841A5">
        <w:rPr>
          <w:rStyle w:val="EndnoteReference"/>
          <w:lang w:val="en-US"/>
        </w:rPr>
        <w:endnoteRef/>
      </w:r>
      <w:r w:rsidRPr="000B3B0C">
        <w:tab/>
        <w:t>UNHCR submission, p. 4.</w:t>
      </w:r>
    </w:p>
  </w:endnote>
  <w:endnote w:id="137">
    <w:p w14:paraId="2064BEB0" w14:textId="77777777" w:rsidR="00DE1336" w:rsidRPr="007A02B5" w:rsidRDefault="00DE1336" w:rsidP="00056D32">
      <w:pPr>
        <w:pStyle w:val="EndnoteText"/>
        <w:rPr>
          <w:lang w:val="es-ES"/>
        </w:rPr>
      </w:pPr>
      <w:r w:rsidRPr="000B3B0C">
        <w:tab/>
      </w:r>
      <w:r w:rsidRPr="00E841A5">
        <w:rPr>
          <w:rStyle w:val="EndnoteReference"/>
          <w:lang w:val="en-US"/>
        </w:rPr>
        <w:endnoteRef/>
      </w:r>
      <w:r w:rsidRPr="00DE1336">
        <w:rPr>
          <w:lang w:val="en-US"/>
        </w:rPr>
        <w:tab/>
        <w:t xml:space="preserve">CRC/C/SUR/CO/3-4, para. </w:t>
      </w:r>
      <w:r w:rsidRPr="000B3B0C">
        <w:t>17</w:t>
      </w:r>
      <w:r>
        <w:t>.</w:t>
      </w:r>
      <w:r w:rsidRPr="000B3B0C">
        <w:t xml:space="preserve"> See also CEDAW/C/SUR/CO/4-6, paras. </w:t>
      </w:r>
      <w:r w:rsidRPr="007A02B5">
        <w:rPr>
          <w:lang w:val="es-ES"/>
        </w:rPr>
        <w:t>32–33 (a).</w:t>
      </w:r>
    </w:p>
  </w:endnote>
  <w:endnote w:id="138">
    <w:p w14:paraId="4982D72F" w14:textId="77777777" w:rsidR="00DE1336" w:rsidRPr="007A02B5" w:rsidRDefault="00DE1336" w:rsidP="00056D32">
      <w:pPr>
        <w:pStyle w:val="EndnoteText"/>
        <w:rPr>
          <w:lang w:val="es-ES"/>
        </w:rPr>
      </w:pPr>
      <w:r w:rsidRPr="007A02B5">
        <w:rPr>
          <w:lang w:val="es-ES"/>
        </w:rPr>
        <w:tab/>
      </w:r>
      <w:r w:rsidRPr="00E841A5">
        <w:rPr>
          <w:rStyle w:val="EndnoteReference"/>
          <w:lang w:val="en-US"/>
        </w:rPr>
        <w:endnoteRef/>
      </w:r>
      <w:r w:rsidRPr="007A02B5">
        <w:rPr>
          <w:lang w:val="es-ES"/>
        </w:rPr>
        <w:tab/>
        <w:t xml:space="preserve">CRC/C/SUR/CO/3-4, para. 17. </w:t>
      </w:r>
      <w:proofErr w:type="spellStart"/>
      <w:r w:rsidRPr="007A02B5">
        <w:rPr>
          <w:lang w:val="es-ES"/>
        </w:rPr>
        <w:t>See</w:t>
      </w:r>
      <w:proofErr w:type="spellEnd"/>
      <w:r w:rsidRPr="007A02B5">
        <w:rPr>
          <w:lang w:val="es-ES"/>
        </w:rPr>
        <w:t xml:space="preserve"> </w:t>
      </w:r>
      <w:proofErr w:type="spellStart"/>
      <w:r w:rsidRPr="007A02B5">
        <w:rPr>
          <w:lang w:val="es-ES"/>
        </w:rPr>
        <w:t>also</w:t>
      </w:r>
      <w:proofErr w:type="spellEnd"/>
      <w:r w:rsidRPr="007A02B5">
        <w:rPr>
          <w:lang w:val="es-ES"/>
        </w:rPr>
        <w:t xml:space="preserve"> CEDAW/C/SUR/CO/4-6, para. 33 (b).</w:t>
      </w:r>
    </w:p>
    <w:p w14:paraId="3B860802" w14:textId="77777777" w:rsidR="00DE1336" w:rsidRPr="007A02B5" w:rsidRDefault="00DE1336" w:rsidP="00056D32">
      <w:pPr>
        <w:pStyle w:val="EndnoteText"/>
        <w:spacing w:before="240" w:line="240" w:lineRule="atLeast"/>
        <w:ind w:firstLine="0"/>
        <w:jc w:val="center"/>
        <w:rPr>
          <w:u w:val="single"/>
          <w:lang w:val="es-ES"/>
        </w:rPr>
      </w:pPr>
      <w:r w:rsidRPr="007A02B5">
        <w:rPr>
          <w:u w:val="single"/>
          <w:lang w:val="es-ES"/>
        </w:rPr>
        <w:tab/>
      </w:r>
      <w:r w:rsidRPr="007A02B5">
        <w:rPr>
          <w:u w:val="single"/>
          <w:lang w:val="es-ES"/>
        </w:rPr>
        <w:tab/>
      </w:r>
      <w:r w:rsidRPr="007A02B5">
        <w:rPr>
          <w:u w:val="single"/>
          <w:lang w:val="es-ES"/>
        </w:rPr>
        <w:tab/>
      </w:r>
      <w:r w:rsidRPr="007A02B5">
        <w:rPr>
          <w:u w:val="single"/>
          <w:lang w:val="es-E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CCE0" w14:textId="60C93C4A" w:rsidR="00DE1336" w:rsidRPr="009736BB" w:rsidRDefault="00DE1336" w:rsidP="009736BB">
    <w:pPr>
      <w:pStyle w:val="Footer"/>
      <w:tabs>
        <w:tab w:val="right" w:pos="9638"/>
      </w:tabs>
      <w:rPr>
        <w:b/>
        <w:sz w:val="18"/>
        <w:lang w:val="en-US"/>
      </w:rPr>
    </w:pPr>
    <w:r>
      <w:rPr>
        <w:lang w:val="en-US"/>
      </w:rPr>
      <w:t>GE.21-11133</w:t>
    </w:r>
    <w:r>
      <w:rPr>
        <w:lang w:val="en-US"/>
      </w:rPr>
      <w:tab/>
    </w:r>
    <w:r w:rsidRPr="009736BB">
      <w:rPr>
        <w:b/>
        <w:sz w:val="18"/>
        <w:lang w:val="en-US"/>
      </w:rPr>
      <w:fldChar w:fldCharType="begin"/>
    </w:r>
    <w:r w:rsidRPr="009736BB">
      <w:rPr>
        <w:b/>
        <w:sz w:val="18"/>
        <w:lang w:val="en-US"/>
      </w:rPr>
      <w:instrText xml:space="preserve"> PAGE  \* MERGEFORMAT </w:instrText>
    </w:r>
    <w:r w:rsidRPr="009736BB">
      <w:rPr>
        <w:b/>
        <w:sz w:val="18"/>
        <w:lang w:val="en-US"/>
      </w:rPr>
      <w:fldChar w:fldCharType="separate"/>
    </w:r>
    <w:r w:rsidRPr="009736BB">
      <w:rPr>
        <w:b/>
        <w:noProof/>
        <w:sz w:val="18"/>
        <w:lang w:val="en-US"/>
      </w:rPr>
      <w:t>2</w:t>
    </w:r>
    <w:r w:rsidRPr="009736BB">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B8FD" w14:textId="24032AC4" w:rsidR="00DE1336" w:rsidRPr="009736BB" w:rsidRDefault="00DE1336" w:rsidP="009736BB">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GE.21-11133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CBDA" w14:textId="4BF5162C" w:rsidR="00DE1336" w:rsidRPr="009736BB" w:rsidRDefault="00DE1336" w:rsidP="009736BB">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11BCEE22" wp14:editId="70DC8FA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21-11133 (A)</w:t>
    </w:r>
    <w:r>
      <w:rPr>
        <w:noProof/>
        <w:sz w:val="20"/>
        <w:lang w:val="en-US"/>
      </w:rPr>
      <w:drawing>
        <wp:anchor distT="0" distB="0" distL="114300" distR="114300" simplePos="0" relativeHeight="251659264" behindDoc="0" locked="0" layoutInCell="1" allowOverlap="1" wp14:anchorId="575C93F2" wp14:editId="710A3B92">
          <wp:simplePos x="0" y="0"/>
          <wp:positionH relativeFrom="margin">
            <wp:posOffset>0</wp:posOffset>
          </wp:positionH>
          <wp:positionV relativeFrom="margin">
            <wp:posOffset>8891905</wp:posOffset>
          </wp:positionV>
          <wp:extent cx="561975" cy="561975"/>
          <wp:effectExtent l="0" t="0" r="9525" b="9525"/>
          <wp:wrapNone/>
          <wp:docPr id="4" name="Picture 4"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8767A" w14:textId="77777777" w:rsidR="00DE1336" w:rsidRPr="00A350CC" w:rsidRDefault="00DE1336"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1607645A" w14:textId="36E06775" w:rsidR="00DE1336" w:rsidRPr="00056D32" w:rsidRDefault="00DE1336" w:rsidP="00056D32">
      <w:pPr>
        <w:pStyle w:val="Footer"/>
        <w:spacing w:line="20" w:lineRule="exact"/>
        <w:rPr>
          <w:lang w:val="en-US"/>
        </w:rPr>
      </w:pPr>
    </w:p>
  </w:footnote>
  <w:footnote w:type="continuationNotice" w:id="1">
    <w:p w14:paraId="658C48B3" w14:textId="77777777" w:rsidR="00DE1336" w:rsidRDefault="00DE13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A4556" w14:textId="63A71807" w:rsidR="00DE1336" w:rsidRPr="009736BB" w:rsidRDefault="00DE1336" w:rsidP="009736BB">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A/HRC/WG.6/39/SUR/2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01E4" w14:textId="5DB5844D" w:rsidR="00DE1336" w:rsidRPr="009736BB" w:rsidRDefault="00DE1336" w:rsidP="009736BB">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A/HRC/WG.6/39/SUR/2</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70079" w14:textId="77777777" w:rsidR="00DE1336" w:rsidRDefault="00DE1336"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evenAndOddHeaders/>
  <w:characterSpacingControl w:val="doNotCompress"/>
  <w:hdrShapeDefaults>
    <o:shapedefaults v:ext="edit" spidmax="6145" fillcolor="white">
      <v:fill color="white"/>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F8"/>
    <w:rsid w:val="000076D5"/>
    <w:rsid w:val="00014B0C"/>
    <w:rsid w:val="00031428"/>
    <w:rsid w:val="0004034F"/>
    <w:rsid w:val="0004212D"/>
    <w:rsid w:val="00043663"/>
    <w:rsid w:val="000505CF"/>
    <w:rsid w:val="00056D32"/>
    <w:rsid w:val="00072019"/>
    <w:rsid w:val="000C566D"/>
    <w:rsid w:val="000D701C"/>
    <w:rsid w:val="000E2A71"/>
    <w:rsid w:val="000E524A"/>
    <w:rsid w:val="000E5FB0"/>
    <w:rsid w:val="000E60EE"/>
    <w:rsid w:val="000F1714"/>
    <w:rsid w:val="000F4D63"/>
    <w:rsid w:val="0010182F"/>
    <w:rsid w:val="00105C19"/>
    <w:rsid w:val="00114383"/>
    <w:rsid w:val="001356FA"/>
    <w:rsid w:val="00137011"/>
    <w:rsid w:val="00152268"/>
    <w:rsid w:val="0015354F"/>
    <w:rsid w:val="001562F8"/>
    <w:rsid w:val="00160263"/>
    <w:rsid w:val="001606E9"/>
    <w:rsid w:val="001620A7"/>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67A0E"/>
    <w:rsid w:val="00281242"/>
    <w:rsid w:val="002814B5"/>
    <w:rsid w:val="002855B5"/>
    <w:rsid w:val="002901D9"/>
    <w:rsid w:val="002976C2"/>
    <w:rsid w:val="002C19D1"/>
    <w:rsid w:val="002C36E1"/>
    <w:rsid w:val="002D1EE9"/>
    <w:rsid w:val="002D2DA2"/>
    <w:rsid w:val="002E1ED4"/>
    <w:rsid w:val="002F2710"/>
    <w:rsid w:val="002F3D3A"/>
    <w:rsid w:val="003021AE"/>
    <w:rsid w:val="003147B2"/>
    <w:rsid w:val="00325CC1"/>
    <w:rsid w:val="003260FF"/>
    <w:rsid w:val="00337201"/>
    <w:rsid w:val="00343D95"/>
    <w:rsid w:val="0034444A"/>
    <w:rsid w:val="003468E1"/>
    <w:rsid w:val="00351FBC"/>
    <w:rsid w:val="00364427"/>
    <w:rsid w:val="00374341"/>
    <w:rsid w:val="003773BF"/>
    <w:rsid w:val="003814C2"/>
    <w:rsid w:val="003949EA"/>
    <w:rsid w:val="003B19AB"/>
    <w:rsid w:val="003B3CEF"/>
    <w:rsid w:val="003B588A"/>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1B44"/>
    <w:rsid w:val="004639E8"/>
    <w:rsid w:val="0047152B"/>
    <w:rsid w:val="00482BD0"/>
    <w:rsid w:val="004A1DFF"/>
    <w:rsid w:val="004A6155"/>
    <w:rsid w:val="004B0A1C"/>
    <w:rsid w:val="004B1A4F"/>
    <w:rsid w:val="004B6C99"/>
    <w:rsid w:val="004D298E"/>
    <w:rsid w:val="004E32F4"/>
    <w:rsid w:val="004F2E2E"/>
    <w:rsid w:val="004F2FE5"/>
    <w:rsid w:val="0051326C"/>
    <w:rsid w:val="00517BC9"/>
    <w:rsid w:val="005212F8"/>
    <w:rsid w:val="0052552C"/>
    <w:rsid w:val="00527E4C"/>
    <w:rsid w:val="005304E3"/>
    <w:rsid w:val="0054472E"/>
    <w:rsid w:val="0054762C"/>
    <w:rsid w:val="00564472"/>
    <w:rsid w:val="005662A9"/>
    <w:rsid w:val="00573E83"/>
    <w:rsid w:val="005817D9"/>
    <w:rsid w:val="005827D4"/>
    <w:rsid w:val="00586702"/>
    <w:rsid w:val="0059622A"/>
    <w:rsid w:val="005C487C"/>
    <w:rsid w:val="005C5878"/>
    <w:rsid w:val="005C6351"/>
    <w:rsid w:val="005C7CEA"/>
    <w:rsid w:val="005D1BBC"/>
    <w:rsid w:val="005D3C0B"/>
    <w:rsid w:val="005E256B"/>
    <w:rsid w:val="005E3ECA"/>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5748D"/>
    <w:rsid w:val="0066212E"/>
    <w:rsid w:val="00670955"/>
    <w:rsid w:val="00673245"/>
    <w:rsid w:val="006835AB"/>
    <w:rsid w:val="0068781D"/>
    <w:rsid w:val="006959B0"/>
    <w:rsid w:val="00696A30"/>
    <w:rsid w:val="006B13CB"/>
    <w:rsid w:val="006B3E27"/>
    <w:rsid w:val="006B506C"/>
    <w:rsid w:val="006B6507"/>
    <w:rsid w:val="006C084B"/>
    <w:rsid w:val="006C0C84"/>
    <w:rsid w:val="006C104C"/>
    <w:rsid w:val="006C10D9"/>
    <w:rsid w:val="006C3C80"/>
    <w:rsid w:val="006E4EFE"/>
    <w:rsid w:val="006E719B"/>
    <w:rsid w:val="0070598D"/>
    <w:rsid w:val="00723085"/>
    <w:rsid w:val="00727C36"/>
    <w:rsid w:val="00733704"/>
    <w:rsid w:val="00740188"/>
    <w:rsid w:val="00741707"/>
    <w:rsid w:val="007532BE"/>
    <w:rsid w:val="00756CB5"/>
    <w:rsid w:val="00764796"/>
    <w:rsid w:val="007717DC"/>
    <w:rsid w:val="00776E7C"/>
    <w:rsid w:val="0078071A"/>
    <w:rsid w:val="00784303"/>
    <w:rsid w:val="007853F9"/>
    <w:rsid w:val="007902CD"/>
    <w:rsid w:val="007A4D56"/>
    <w:rsid w:val="007A70BB"/>
    <w:rsid w:val="007B7FC1"/>
    <w:rsid w:val="007E5404"/>
    <w:rsid w:val="00811939"/>
    <w:rsid w:val="00811AD2"/>
    <w:rsid w:val="0083136D"/>
    <w:rsid w:val="00847298"/>
    <w:rsid w:val="0084797F"/>
    <w:rsid w:val="00852A9A"/>
    <w:rsid w:val="00861BA0"/>
    <w:rsid w:val="00867971"/>
    <w:rsid w:val="00871544"/>
    <w:rsid w:val="00880CC3"/>
    <w:rsid w:val="008930DB"/>
    <w:rsid w:val="00895D16"/>
    <w:rsid w:val="008A4DD3"/>
    <w:rsid w:val="008D1D80"/>
    <w:rsid w:val="008D4E87"/>
    <w:rsid w:val="008E2E2A"/>
    <w:rsid w:val="008F49E1"/>
    <w:rsid w:val="009016D3"/>
    <w:rsid w:val="0090370F"/>
    <w:rsid w:val="009269D2"/>
    <w:rsid w:val="00941CDA"/>
    <w:rsid w:val="00942135"/>
    <w:rsid w:val="009521B0"/>
    <w:rsid w:val="009549E9"/>
    <w:rsid w:val="00955B22"/>
    <w:rsid w:val="00955F0E"/>
    <w:rsid w:val="00964FAA"/>
    <w:rsid w:val="009727D9"/>
    <w:rsid w:val="009736BB"/>
    <w:rsid w:val="00985DF8"/>
    <w:rsid w:val="009A2FBF"/>
    <w:rsid w:val="009A7E9F"/>
    <w:rsid w:val="009B586A"/>
    <w:rsid w:val="009C3385"/>
    <w:rsid w:val="009C5923"/>
    <w:rsid w:val="009E5018"/>
    <w:rsid w:val="009F2F3F"/>
    <w:rsid w:val="00A12B37"/>
    <w:rsid w:val="00A206A1"/>
    <w:rsid w:val="00A268F3"/>
    <w:rsid w:val="00A33B3C"/>
    <w:rsid w:val="00A350CC"/>
    <w:rsid w:val="00A40290"/>
    <w:rsid w:val="00A43ED2"/>
    <w:rsid w:val="00A50EC0"/>
    <w:rsid w:val="00A54254"/>
    <w:rsid w:val="00A6138D"/>
    <w:rsid w:val="00A74331"/>
    <w:rsid w:val="00AB3BCA"/>
    <w:rsid w:val="00AB6758"/>
    <w:rsid w:val="00AC01D9"/>
    <w:rsid w:val="00AC03B4"/>
    <w:rsid w:val="00AC72D8"/>
    <w:rsid w:val="00AD3834"/>
    <w:rsid w:val="00AD545D"/>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5849"/>
    <w:rsid w:val="00C022F5"/>
    <w:rsid w:val="00C04102"/>
    <w:rsid w:val="00C06421"/>
    <w:rsid w:val="00C07C84"/>
    <w:rsid w:val="00C22506"/>
    <w:rsid w:val="00C342BF"/>
    <w:rsid w:val="00C41653"/>
    <w:rsid w:val="00C4236D"/>
    <w:rsid w:val="00C438D7"/>
    <w:rsid w:val="00C53FE8"/>
    <w:rsid w:val="00C55683"/>
    <w:rsid w:val="00C70B0C"/>
    <w:rsid w:val="00C7601E"/>
    <w:rsid w:val="00C81B50"/>
    <w:rsid w:val="00C92BF2"/>
    <w:rsid w:val="00CA655B"/>
    <w:rsid w:val="00CB14BE"/>
    <w:rsid w:val="00CB3C3C"/>
    <w:rsid w:val="00CD17BB"/>
    <w:rsid w:val="00CD1801"/>
    <w:rsid w:val="00CE19BC"/>
    <w:rsid w:val="00CF1758"/>
    <w:rsid w:val="00CF4188"/>
    <w:rsid w:val="00CF4A46"/>
    <w:rsid w:val="00CF4E79"/>
    <w:rsid w:val="00D00159"/>
    <w:rsid w:val="00D01B36"/>
    <w:rsid w:val="00D04F7E"/>
    <w:rsid w:val="00D065CB"/>
    <w:rsid w:val="00D06DC6"/>
    <w:rsid w:val="00D10EF1"/>
    <w:rsid w:val="00D2259D"/>
    <w:rsid w:val="00D24BBE"/>
    <w:rsid w:val="00D35375"/>
    <w:rsid w:val="00D41E2E"/>
    <w:rsid w:val="00D42810"/>
    <w:rsid w:val="00D6535A"/>
    <w:rsid w:val="00D67430"/>
    <w:rsid w:val="00D808EF"/>
    <w:rsid w:val="00D914A7"/>
    <w:rsid w:val="00DA1D89"/>
    <w:rsid w:val="00DA3EC5"/>
    <w:rsid w:val="00DC6485"/>
    <w:rsid w:val="00DD13C3"/>
    <w:rsid w:val="00DD596E"/>
    <w:rsid w:val="00DD621E"/>
    <w:rsid w:val="00DE1336"/>
    <w:rsid w:val="00DF0575"/>
    <w:rsid w:val="00DF1E1D"/>
    <w:rsid w:val="00E03AEA"/>
    <w:rsid w:val="00E2504D"/>
    <w:rsid w:val="00E70E04"/>
    <w:rsid w:val="00E75996"/>
    <w:rsid w:val="00E841A5"/>
    <w:rsid w:val="00E86D80"/>
    <w:rsid w:val="00EA20A9"/>
    <w:rsid w:val="00EA510B"/>
    <w:rsid w:val="00EB00A4"/>
    <w:rsid w:val="00EB5FCA"/>
    <w:rsid w:val="00EC05A7"/>
    <w:rsid w:val="00EC4B6B"/>
    <w:rsid w:val="00ED7442"/>
    <w:rsid w:val="00EE0B18"/>
    <w:rsid w:val="00EF00F7"/>
    <w:rsid w:val="00EF1EE5"/>
    <w:rsid w:val="00EF6576"/>
    <w:rsid w:val="00F140AA"/>
    <w:rsid w:val="00F3032E"/>
    <w:rsid w:val="00F30DDA"/>
    <w:rsid w:val="00F314D8"/>
    <w:rsid w:val="00F3766D"/>
    <w:rsid w:val="00F37C7F"/>
    <w:rsid w:val="00F47002"/>
    <w:rsid w:val="00F474F9"/>
    <w:rsid w:val="00F503F2"/>
    <w:rsid w:val="00F52243"/>
    <w:rsid w:val="00F558A2"/>
    <w:rsid w:val="00F61D7C"/>
    <w:rsid w:val="00F63DD1"/>
    <w:rsid w:val="00F6741C"/>
    <w:rsid w:val="00F763B4"/>
    <w:rsid w:val="00F86BCA"/>
    <w:rsid w:val="00F900C3"/>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white">
      <v:fill color="white"/>
    </o:shapedefaults>
    <o:shapelayout v:ext="edit">
      <o:idmap v:ext="edit" data="1"/>
    </o:shapelayout>
  </w:shapeDefaults>
  <w:decimalSymbol w:val="."/>
  <w:listSeparator w:val=";"/>
  <w14:docId w14:val="570219EF"/>
  <w15:docId w15:val="{1A7A38AB-A3F0-4386-B1C0-41B2CCD3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CA"/>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5E3ECA"/>
    <w:pPr>
      <w:bidi w:val="0"/>
      <w:outlineLvl w:val="0"/>
    </w:pPr>
  </w:style>
  <w:style w:type="paragraph" w:styleId="Heading2">
    <w:name w:val="heading 2"/>
    <w:basedOn w:val="Normal"/>
    <w:next w:val="Normal"/>
    <w:link w:val="Heading2Char"/>
    <w:uiPriority w:val="9"/>
    <w:unhideWhenUsed/>
    <w:rsid w:val="005E3EC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E3ECA"/>
    <w:pPr>
      <w:keepNext/>
      <w:keepLines/>
      <w:spacing w:before="200"/>
      <w:outlineLvl w:val="2"/>
    </w:pPr>
    <w:rPr>
      <w:b/>
      <w:bCs/>
      <w:color w:val="4F81BD"/>
    </w:rPr>
  </w:style>
  <w:style w:type="paragraph" w:styleId="Heading4">
    <w:name w:val="heading 4"/>
    <w:basedOn w:val="Normal"/>
    <w:next w:val="Normal"/>
    <w:link w:val="Heading4Char"/>
    <w:uiPriority w:val="9"/>
    <w:unhideWhenUsed/>
    <w:rsid w:val="005E3EC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E3ECA"/>
    <w:pPr>
      <w:keepNext/>
      <w:keepLines/>
      <w:spacing w:before="200"/>
      <w:outlineLvl w:val="4"/>
    </w:pPr>
    <w:rPr>
      <w:color w:val="243F60"/>
    </w:rPr>
  </w:style>
  <w:style w:type="paragraph" w:styleId="Heading6">
    <w:name w:val="heading 6"/>
    <w:basedOn w:val="Normal"/>
    <w:next w:val="Normal"/>
    <w:link w:val="Heading6Char"/>
    <w:uiPriority w:val="9"/>
    <w:unhideWhenUsed/>
    <w:rsid w:val="005E3ECA"/>
    <w:pPr>
      <w:keepNext/>
      <w:keepLines/>
      <w:spacing w:before="200"/>
      <w:outlineLvl w:val="5"/>
    </w:pPr>
    <w:rPr>
      <w:i/>
      <w:iCs/>
      <w:color w:val="243F60"/>
    </w:rPr>
  </w:style>
  <w:style w:type="paragraph" w:styleId="Heading7">
    <w:name w:val="heading 7"/>
    <w:basedOn w:val="Normal"/>
    <w:next w:val="Normal"/>
    <w:link w:val="Heading7Char"/>
    <w:uiPriority w:val="9"/>
    <w:unhideWhenUsed/>
    <w:rsid w:val="005E3ECA"/>
    <w:pPr>
      <w:keepNext/>
      <w:keepLines/>
      <w:spacing w:before="200"/>
      <w:outlineLvl w:val="6"/>
    </w:pPr>
    <w:rPr>
      <w:i/>
      <w:iCs/>
      <w:color w:val="404040"/>
    </w:rPr>
  </w:style>
  <w:style w:type="paragraph" w:styleId="Heading8">
    <w:name w:val="heading 8"/>
    <w:basedOn w:val="Normal"/>
    <w:next w:val="Normal"/>
    <w:link w:val="Heading8Char"/>
    <w:uiPriority w:val="9"/>
    <w:unhideWhenUsed/>
    <w:rsid w:val="005E3EC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E3E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5E3E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5E3ECA"/>
    <w:rPr>
      <w:rFonts w:ascii="Times New Roman" w:hAnsi="Times New Roman" w:cs="Simplified Arabic"/>
      <w:sz w:val="18"/>
      <w:lang w:eastAsia="en-US"/>
    </w:rPr>
  </w:style>
  <w:style w:type="character" w:styleId="FootnoteReference">
    <w:name w:val="footnote reference"/>
    <w:aliases w:val="ب,4_G,4_GA"/>
    <w:link w:val="Char2"/>
    <w:uiPriority w:val="99"/>
    <w:qFormat/>
    <w:rsid w:val="005E3ECA"/>
    <w:rPr>
      <w:szCs w:val="18"/>
      <w:vertAlign w:val="superscript"/>
    </w:rPr>
  </w:style>
  <w:style w:type="paragraph" w:customStyle="1" w:styleId="HMGA">
    <w:name w:val="_ H __M_GA"/>
    <w:basedOn w:val="Normal"/>
    <w:next w:val="SingleTxtGA"/>
    <w:qFormat/>
    <w:rsid w:val="005E3E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E3E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E3E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E3E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E3E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E3E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5E3E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E3E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E3E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E3E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E3E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E3E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E3ECA"/>
    <w:pPr>
      <w:numPr>
        <w:numId w:val="5"/>
      </w:numPr>
      <w:bidi w:val="0"/>
    </w:pPr>
    <w:rPr>
      <w:lang w:val="en-US"/>
    </w:rPr>
  </w:style>
  <w:style w:type="paragraph" w:customStyle="1" w:styleId="Roman1GA">
    <w:name w:val="_Roman 1_GA"/>
    <w:basedOn w:val="Bullet1GA"/>
    <w:qFormat/>
    <w:rsid w:val="005E3ECA"/>
    <w:pPr>
      <w:numPr>
        <w:numId w:val="6"/>
      </w:numPr>
      <w:tabs>
        <w:tab w:val="clear" w:pos="2310"/>
        <w:tab w:val="left" w:pos="2486"/>
      </w:tabs>
      <w:ind w:left="2486" w:hanging="378"/>
    </w:pPr>
  </w:style>
  <w:style w:type="paragraph" w:customStyle="1" w:styleId="Roman2GA">
    <w:name w:val="_Roman 2_GA"/>
    <w:basedOn w:val="Bullet2GA"/>
    <w:qFormat/>
    <w:rsid w:val="005E3E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5E3E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5E3ECA"/>
    <w:rPr>
      <w:rFonts w:ascii="Times New Roman" w:hAnsi="Times New Roman" w:cs="Simplified Arabic"/>
      <w:sz w:val="18"/>
      <w:lang w:val="en-GB" w:eastAsia="en-US"/>
    </w:rPr>
  </w:style>
  <w:style w:type="character" w:customStyle="1" w:styleId="EndtnoteReference">
    <w:name w:val="Endtnote Reference"/>
    <w:aliases w:val="1_GA"/>
    <w:qFormat/>
    <w:rsid w:val="005E3E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E3ECA"/>
    <w:pPr>
      <w:suppressAutoHyphens/>
      <w:bidi w:val="0"/>
      <w:spacing w:line="240" w:lineRule="auto"/>
    </w:pPr>
    <w:rPr>
      <w:sz w:val="16"/>
      <w:lang w:val="en-GB"/>
    </w:rPr>
  </w:style>
  <w:style w:type="character" w:customStyle="1" w:styleId="FooterChar">
    <w:name w:val="Footer Char"/>
    <w:aliases w:val="3_GA Char,3_G Char"/>
    <w:link w:val="Footer"/>
    <w:rsid w:val="005E3ECA"/>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5E3EC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E3EC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E3ECA"/>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5E3ECA"/>
    <w:rPr>
      <w:rFonts w:ascii="Times New Roman" w:hAnsi="Times New Roman" w:cs="Simplified Arabic"/>
      <w:sz w:val="22"/>
      <w:szCs w:val="22"/>
      <w:lang w:val="en-GB" w:eastAsia="en-US"/>
    </w:rPr>
  </w:style>
  <w:style w:type="character" w:styleId="PageNumber">
    <w:name w:val="page number"/>
    <w:aliases w:val="7_GA,7_G"/>
    <w:qFormat/>
    <w:rsid w:val="005E3ECA"/>
    <w:rPr>
      <w:rFonts w:ascii="Times New Roman Bold" w:hAnsi="Times New Roman Bold"/>
      <w:b/>
      <w:i w:val="0"/>
      <w:sz w:val="18"/>
      <w:szCs w:val="18"/>
    </w:rPr>
  </w:style>
  <w:style w:type="paragraph" w:customStyle="1" w:styleId="XXLargeGA">
    <w:name w:val="XXLarge_GA"/>
    <w:basedOn w:val="Normal"/>
    <w:next w:val="SingleTxtGA"/>
    <w:qFormat/>
    <w:rsid w:val="005E3ECA"/>
    <w:pPr>
      <w:suppressAutoHyphens/>
      <w:spacing w:line="820" w:lineRule="exact"/>
    </w:pPr>
    <w:rPr>
      <w:spacing w:val="-8"/>
      <w:w w:val="96"/>
      <w:sz w:val="57"/>
      <w:szCs w:val="86"/>
      <w:lang w:val="en-GB"/>
    </w:rPr>
  </w:style>
  <w:style w:type="character" w:customStyle="1" w:styleId="Heading2Char">
    <w:name w:val="Heading 2 Char"/>
    <w:link w:val="Heading2"/>
    <w:uiPriority w:val="9"/>
    <w:rsid w:val="005E3ECA"/>
    <w:rPr>
      <w:rFonts w:ascii="Times New Roman" w:hAnsi="Times New Roman" w:cs="Simplified Arabic"/>
      <w:b/>
      <w:bCs/>
      <w:color w:val="4F81BD"/>
      <w:sz w:val="26"/>
      <w:szCs w:val="26"/>
      <w:lang w:eastAsia="en-US"/>
    </w:rPr>
  </w:style>
  <w:style w:type="character" w:styleId="BookTitle">
    <w:name w:val="Book Title"/>
    <w:uiPriority w:val="33"/>
    <w:rsid w:val="005E3ECA"/>
    <w:rPr>
      <w:b/>
      <w:bCs/>
      <w:smallCaps/>
      <w:spacing w:val="5"/>
    </w:rPr>
  </w:style>
  <w:style w:type="character" w:customStyle="1" w:styleId="Heading3Char">
    <w:name w:val="Heading 3 Char"/>
    <w:link w:val="Heading3"/>
    <w:uiPriority w:val="9"/>
    <w:rsid w:val="005E3ECA"/>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5E3ECA"/>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5E3ECA"/>
    <w:rPr>
      <w:rFonts w:ascii="Times New Roman" w:hAnsi="Times New Roman" w:cs="Simplified Arabic"/>
      <w:color w:val="243F60"/>
      <w:szCs w:val="22"/>
      <w:lang w:eastAsia="en-US"/>
    </w:rPr>
  </w:style>
  <w:style w:type="character" w:customStyle="1" w:styleId="Heading6Char">
    <w:name w:val="Heading 6 Char"/>
    <w:link w:val="Heading6"/>
    <w:uiPriority w:val="9"/>
    <w:rsid w:val="005E3ECA"/>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5E3ECA"/>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5E3ECA"/>
    <w:rPr>
      <w:rFonts w:ascii="Times New Roman" w:hAnsi="Times New Roman" w:cs="Simplified Arabic"/>
      <w:color w:val="404040"/>
      <w:lang w:eastAsia="en-US"/>
    </w:rPr>
  </w:style>
  <w:style w:type="character" w:customStyle="1" w:styleId="Heading9Char">
    <w:name w:val="Heading 9 Char"/>
    <w:link w:val="Heading9"/>
    <w:uiPriority w:val="9"/>
    <w:rsid w:val="005E3ECA"/>
    <w:rPr>
      <w:rFonts w:ascii="Times New Roman" w:hAnsi="Times New Roman" w:cs="Simplified Arabic"/>
      <w:i/>
      <w:iCs/>
      <w:color w:val="404040"/>
      <w:lang w:eastAsia="en-US"/>
    </w:rPr>
  </w:style>
  <w:style w:type="paragraph" w:styleId="Title">
    <w:name w:val="Title"/>
    <w:basedOn w:val="Normal"/>
    <w:next w:val="Normal"/>
    <w:link w:val="TitleChar"/>
    <w:uiPriority w:val="10"/>
    <w:rsid w:val="005E3E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E3ECA"/>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E3ECA"/>
    <w:pPr>
      <w:numPr>
        <w:ilvl w:val="1"/>
      </w:numPr>
    </w:pPr>
    <w:rPr>
      <w:i/>
      <w:iCs/>
      <w:color w:val="4F81BD"/>
      <w:spacing w:val="15"/>
      <w:sz w:val="24"/>
      <w:szCs w:val="24"/>
    </w:rPr>
  </w:style>
  <w:style w:type="character" w:customStyle="1" w:styleId="SubtitleChar">
    <w:name w:val="Subtitle Char"/>
    <w:link w:val="Subtitle"/>
    <w:uiPriority w:val="11"/>
    <w:rsid w:val="005E3ECA"/>
    <w:rPr>
      <w:rFonts w:ascii="Times New Roman" w:hAnsi="Times New Roman" w:cs="Simplified Arabic"/>
      <w:i/>
      <w:iCs/>
      <w:color w:val="4F81BD"/>
      <w:spacing w:val="15"/>
      <w:sz w:val="24"/>
      <w:szCs w:val="24"/>
      <w:lang w:eastAsia="en-US"/>
    </w:rPr>
  </w:style>
  <w:style w:type="character" w:styleId="SubtleEmphasis">
    <w:name w:val="Subtle Emphasis"/>
    <w:uiPriority w:val="19"/>
    <w:rsid w:val="005E3ECA"/>
    <w:rPr>
      <w:i/>
      <w:iCs/>
      <w:color w:val="808080"/>
    </w:rPr>
  </w:style>
  <w:style w:type="table" w:styleId="ColorfulGrid-Accent6">
    <w:name w:val="Colorful Grid Accent 6"/>
    <w:basedOn w:val="TableNormal"/>
    <w:uiPriority w:val="73"/>
    <w:rsid w:val="005E3E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E3ECA"/>
    <w:rPr>
      <w:i/>
      <w:iCs/>
    </w:rPr>
  </w:style>
  <w:style w:type="character" w:styleId="IntenseEmphasis">
    <w:name w:val="Intense Emphasis"/>
    <w:uiPriority w:val="21"/>
    <w:rsid w:val="005E3ECA"/>
    <w:rPr>
      <w:b/>
      <w:bCs/>
      <w:i/>
      <w:iCs/>
      <w:color w:val="4F81BD"/>
    </w:rPr>
  </w:style>
  <w:style w:type="character" w:styleId="Strong">
    <w:name w:val="Strong"/>
    <w:uiPriority w:val="22"/>
    <w:rsid w:val="005E3ECA"/>
    <w:rPr>
      <w:b/>
      <w:bCs/>
    </w:rPr>
  </w:style>
  <w:style w:type="paragraph" w:styleId="Quote">
    <w:name w:val="Quote"/>
    <w:basedOn w:val="Normal"/>
    <w:next w:val="Normal"/>
    <w:link w:val="QuoteChar"/>
    <w:uiPriority w:val="29"/>
    <w:rsid w:val="005E3ECA"/>
    <w:rPr>
      <w:i/>
      <w:iCs/>
      <w:color w:val="000000"/>
    </w:rPr>
  </w:style>
  <w:style w:type="character" w:customStyle="1" w:styleId="QuoteChar">
    <w:name w:val="Quote Char"/>
    <w:link w:val="Quote"/>
    <w:uiPriority w:val="29"/>
    <w:rsid w:val="005E3ECA"/>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5E3E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E3ECA"/>
    <w:rPr>
      <w:rFonts w:ascii="Times New Roman" w:hAnsi="Times New Roman" w:cs="Simplified Arabic"/>
      <w:b/>
      <w:bCs/>
      <w:i/>
      <w:iCs/>
      <w:color w:val="4F81BD"/>
      <w:szCs w:val="22"/>
      <w:lang w:eastAsia="en-US"/>
    </w:rPr>
  </w:style>
  <w:style w:type="character" w:styleId="SubtleReference">
    <w:name w:val="Subtle Reference"/>
    <w:uiPriority w:val="31"/>
    <w:rsid w:val="005E3ECA"/>
    <w:rPr>
      <w:smallCaps/>
      <w:color w:val="C0504D"/>
      <w:u w:val="single"/>
    </w:rPr>
  </w:style>
  <w:style w:type="character" w:styleId="IntenseReference">
    <w:name w:val="Intense Reference"/>
    <w:uiPriority w:val="32"/>
    <w:rsid w:val="005E3ECA"/>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E3ECA"/>
    <w:pPr>
      <w:ind w:left="720"/>
    </w:pPr>
  </w:style>
  <w:style w:type="table" w:styleId="MediumShading1-Accent4">
    <w:name w:val="Medium Shading 1 Accent 4"/>
    <w:basedOn w:val="TableNormal"/>
    <w:uiPriority w:val="63"/>
    <w:rsid w:val="005E3E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E3ECA"/>
    <w:rPr>
      <w:rFonts w:eastAsia="MS Mincho"/>
      <w:sz w:val="18"/>
      <w:vertAlign w:val="superscript"/>
    </w:rPr>
  </w:style>
  <w:style w:type="table" w:styleId="TableGrid">
    <w:name w:val="Table Grid"/>
    <w:basedOn w:val="TableNormal"/>
    <w:rsid w:val="005E3ECA"/>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ECA"/>
    <w:pPr>
      <w:spacing w:line="240" w:lineRule="auto"/>
    </w:pPr>
    <w:rPr>
      <w:sz w:val="16"/>
      <w:szCs w:val="16"/>
    </w:rPr>
  </w:style>
  <w:style w:type="character" w:customStyle="1" w:styleId="BalloonTextChar">
    <w:name w:val="Balloon Text Char"/>
    <w:link w:val="BalloonText"/>
    <w:uiPriority w:val="99"/>
    <w:semiHidden/>
    <w:rsid w:val="005E3ECA"/>
    <w:rPr>
      <w:rFonts w:ascii="Times New Roman" w:hAnsi="Times New Roman" w:cs="Simplified Arabic"/>
      <w:sz w:val="16"/>
      <w:szCs w:val="16"/>
      <w:lang w:eastAsia="en-US"/>
    </w:rPr>
  </w:style>
  <w:style w:type="character" w:styleId="Hyperlink">
    <w:name w:val="Hyperlink"/>
    <w:unhideWhenUsed/>
    <w:rsid w:val="005E3ECA"/>
    <w:rPr>
      <w:color w:val="0000FF"/>
      <w:u w:val="none"/>
    </w:rPr>
  </w:style>
  <w:style w:type="paragraph" w:styleId="TOC1">
    <w:name w:val="toc 1"/>
    <w:basedOn w:val="Normal"/>
    <w:link w:val="TOC1Char"/>
    <w:autoRedefine/>
    <w:uiPriority w:val="39"/>
    <w:unhideWhenUsed/>
    <w:rsid w:val="005E3E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E3E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E3E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E3ECA"/>
    <w:rPr>
      <w:rFonts w:eastAsia="DengXian"/>
      <w:color w:val="auto"/>
      <w:sz w:val="20"/>
      <w:szCs w:val="20"/>
      <w:u w:val="none"/>
      <w:lang w:eastAsia="zh-CN" w:bidi="ar-EG"/>
    </w:rPr>
  </w:style>
  <w:style w:type="paragraph" w:styleId="TOC4">
    <w:name w:val="toc 4"/>
    <w:basedOn w:val="Normal"/>
    <w:link w:val="TOC4Char"/>
    <w:autoRedefine/>
    <w:uiPriority w:val="39"/>
    <w:unhideWhenUsed/>
    <w:rsid w:val="005E3E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E3E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E3E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E3E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5E3ECA"/>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5E3ECA"/>
    <w:rPr>
      <w:color w:val="605E5C"/>
      <w:shd w:val="clear" w:color="auto" w:fill="E1DFDD"/>
    </w:rPr>
  </w:style>
  <w:style w:type="character" w:customStyle="1" w:styleId="TOC1Char">
    <w:name w:val="TOC 1 Char"/>
    <w:basedOn w:val="DefaultParagraphFont"/>
    <w:link w:val="TOC1"/>
    <w:uiPriority w:val="39"/>
    <w:rsid w:val="005E3ECA"/>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5E3ECA"/>
    <w:rPr>
      <w:rFonts w:ascii="Times New Roman" w:hAnsi="Times New Roman" w:cs="Simplified Arabic"/>
      <w:noProof/>
      <w:lang w:val="fr-CH" w:eastAsia="en-US"/>
    </w:rPr>
  </w:style>
  <w:style w:type="character" w:customStyle="1" w:styleId="TOC3Char">
    <w:name w:val="TOC 3 Char"/>
    <w:basedOn w:val="TOC2Char"/>
    <w:link w:val="TOC3"/>
    <w:uiPriority w:val="39"/>
    <w:rsid w:val="005E3ECA"/>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5E3ECA"/>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5E3ECA"/>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5E3ECA"/>
    <w:rPr>
      <w:rFonts w:ascii="Times New Roman" w:hAnsi="Times New Roman" w:cs="Simplified Arabic"/>
      <w:lang w:val="en-GB" w:eastAsia="en-US"/>
    </w:rPr>
  </w:style>
  <w:style w:type="paragraph" w:customStyle="1" w:styleId="SessionDate">
    <w:name w:val="Session_Date"/>
    <w:basedOn w:val="Normal"/>
    <w:qFormat/>
    <w:rsid w:val="005E3ECA"/>
    <w:pPr>
      <w:spacing w:before="240" w:after="240" w:line="460" w:lineRule="exact"/>
      <w:ind w:left="1247"/>
    </w:pPr>
    <w:rPr>
      <w:b/>
      <w:bCs/>
      <w:sz w:val="32"/>
      <w:szCs w:val="44"/>
    </w:rPr>
  </w:style>
  <w:style w:type="paragraph" w:customStyle="1" w:styleId="SessionNumber">
    <w:name w:val="Session_Number"/>
    <w:basedOn w:val="Normal"/>
    <w:qFormat/>
    <w:rsid w:val="005E3ECA"/>
    <w:pPr>
      <w:spacing w:line="480" w:lineRule="exact"/>
      <w:ind w:left="1247"/>
    </w:pPr>
    <w:rPr>
      <w:b/>
      <w:bCs/>
      <w:sz w:val="28"/>
      <w:szCs w:val="38"/>
    </w:rPr>
  </w:style>
  <w:style w:type="paragraph" w:customStyle="1" w:styleId="CityandYear">
    <w:name w:val="City and Year"/>
    <w:basedOn w:val="SingleTxtGA"/>
    <w:qFormat/>
    <w:rsid w:val="005E3ECA"/>
    <w:pPr>
      <w:spacing w:line="480" w:lineRule="exact"/>
    </w:pPr>
    <w:rPr>
      <w:b/>
      <w:bCs/>
      <w:sz w:val="30"/>
      <w:szCs w:val="38"/>
      <w:lang w:eastAsia="ar-SA"/>
    </w:rPr>
  </w:style>
  <w:style w:type="paragraph" w:customStyle="1" w:styleId="NormalA">
    <w:name w:val="Normal_A"/>
    <w:basedOn w:val="Normal"/>
    <w:qFormat/>
    <w:rsid w:val="005E3ECA"/>
  </w:style>
  <w:style w:type="paragraph" w:customStyle="1" w:styleId="SingleTxtGA">
    <w:name w:val="_ Single Txt_GA"/>
    <w:basedOn w:val="Normal"/>
    <w:link w:val="SingleTxtGAChar"/>
    <w:qFormat/>
    <w:rsid w:val="005E3E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5E3ECA"/>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5E3ECA"/>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5E3ECA"/>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E3E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E3E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E3E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5E3E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E3E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5E3ECA"/>
    <w:pPr>
      <w:spacing w:line="440" w:lineRule="exact"/>
    </w:pPr>
    <w:rPr>
      <w:spacing w:val="-2"/>
      <w:sz w:val="28"/>
      <w:szCs w:val="36"/>
    </w:rPr>
  </w:style>
  <w:style w:type="character" w:styleId="CommentReference">
    <w:name w:val="annotation reference"/>
    <w:uiPriority w:val="99"/>
    <w:semiHidden/>
    <w:rsid w:val="005E3ECA"/>
    <w:rPr>
      <w:sz w:val="6"/>
      <w:szCs w:val="9"/>
    </w:rPr>
  </w:style>
  <w:style w:type="paragraph" w:customStyle="1" w:styleId="HM">
    <w:name w:val="_ H __M"/>
    <w:basedOn w:val="HCh"/>
    <w:next w:val="Normal"/>
    <w:qFormat/>
    <w:rsid w:val="005E3ECA"/>
    <w:pPr>
      <w:suppressAutoHyphens/>
      <w:spacing w:line="520" w:lineRule="exact"/>
    </w:pPr>
    <w:rPr>
      <w:spacing w:val="-3"/>
      <w:sz w:val="34"/>
      <w:szCs w:val="48"/>
    </w:rPr>
  </w:style>
  <w:style w:type="paragraph" w:customStyle="1" w:styleId="SingleTxt">
    <w:name w:val="__Single Txt"/>
    <w:basedOn w:val="SingleTxtG"/>
    <w:qFormat/>
    <w:rsid w:val="005E3ECA"/>
  </w:style>
  <w:style w:type="paragraph" w:customStyle="1" w:styleId="H23">
    <w:name w:val="_ H_2/3"/>
    <w:basedOn w:val="H1"/>
    <w:next w:val="Normal"/>
    <w:qFormat/>
    <w:rsid w:val="005E3ECA"/>
    <w:pPr>
      <w:suppressAutoHyphens/>
      <w:spacing w:line="360" w:lineRule="exact"/>
      <w:outlineLvl w:val="1"/>
    </w:pPr>
    <w:rPr>
      <w:spacing w:val="2"/>
      <w:sz w:val="20"/>
      <w:szCs w:val="28"/>
    </w:rPr>
  </w:style>
  <w:style w:type="paragraph" w:customStyle="1" w:styleId="H4">
    <w:name w:val="_ H_4"/>
    <w:basedOn w:val="Normal"/>
    <w:next w:val="Normal"/>
    <w:qFormat/>
    <w:rsid w:val="005E3ECA"/>
    <w:pPr>
      <w:keepNext/>
      <w:keepLines/>
      <w:spacing w:after="120" w:line="360" w:lineRule="exact"/>
      <w:outlineLvl w:val="3"/>
    </w:pPr>
    <w:rPr>
      <w:i/>
      <w:iCs/>
      <w:kern w:val="14"/>
      <w:szCs w:val="28"/>
    </w:rPr>
  </w:style>
  <w:style w:type="paragraph" w:customStyle="1" w:styleId="H56">
    <w:name w:val="_ H_5/6"/>
    <w:basedOn w:val="Normal"/>
    <w:next w:val="Normal"/>
    <w:qFormat/>
    <w:rsid w:val="005E3ECA"/>
    <w:pPr>
      <w:keepNext/>
      <w:keepLines/>
      <w:spacing w:after="120" w:line="360" w:lineRule="exact"/>
      <w:outlineLvl w:val="4"/>
    </w:pPr>
    <w:rPr>
      <w:kern w:val="14"/>
      <w:szCs w:val="28"/>
    </w:rPr>
  </w:style>
  <w:style w:type="paragraph" w:customStyle="1" w:styleId="DualTxt">
    <w:name w:val="__Dual Txt"/>
    <w:basedOn w:val="Normal"/>
    <w:qFormat/>
    <w:rsid w:val="005E3E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E3E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E3E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E3ECA"/>
    <w:pPr>
      <w:spacing w:after="120" w:line="440" w:lineRule="exact"/>
      <w:jc w:val="center"/>
    </w:pPr>
    <w:rPr>
      <w:b/>
      <w:bCs/>
      <w:sz w:val="25"/>
      <w:szCs w:val="38"/>
    </w:rPr>
  </w:style>
  <w:style w:type="paragraph" w:customStyle="1" w:styleId="JH1">
    <w:name w:val="J_H_1"/>
    <w:basedOn w:val="JCH"/>
    <w:qFormat/>
    <w:rsid w:val="005E3ECA"/>
    <w:pPr>
      <w:spacing w:line="420" w:lineRule="exact"/>
    </w:pPr>
    <w:rPr>
      <w:sz w:val="23"/>
      <w:szCs w:val="34"/>
    </w:rPr>
  </w:style>
  <w:style w:type="paragraph" w:customStyle="1" w:styleId="JH2">
    <w:name w:val="J_H_2"/>
    <w:basedOn w:val="JH1"/>
    <w:qFormat/>
    <w:rsid w:val="005E3ECA"/>
    <w:pPr>
      <w:spacing w:line="400" w:lineRule="exact"/>
    </w:pPr>
    <w:rPr>
      <w:sz w:val="20"/>
      <w:szCs w:val="30"/>
    </w:rPr>
  </w:style>
  <w:style w:type="paragraph" w:customStyle="1" w:styleId="JSmall">
    <w:name w:val="J_Small"/>
    <w:basedOn w:val="JSingleTxt"/>
    <w:next w:val="JSingleTxt"/>
    <w:qFormat/>
    <w:rsid w:val="005E3E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E3ECA"/>
    <w:pPr>
      <w:tabs>
        <w:tab w:val="right" w:leader="dot" w:pos="360"/>
      </w:tabs>
      <w:spacing w:line="310" w:lineRule="exact"/>
      <w:jc w:val="right"/>
    </w:pPr>
    <w:rPr>
      <w:spacing w:val="5"/>
      <w:w w:val="104"/>
      <w:kern w:val="14"/>
      <w:sz w:val="17"/>
      <w:szCs w:val="25"/>
    </w:rPr>
  </w:style>
  <w:style w:type="character" w:styleId="LineNumber">
    <w:name w:val="line number"/>
    <w:qFormat/>
    <w:rsid w:val="005E3ECA"/>
    <w:rPr>
      <w:sz w:val="14"/>
      <w:szCs w:val="16"/>
    </w:rPr>
  </w:style>
  <w:style w:type="paragraph" w:customStyle="1" w:styleId="SmallX">
    <w:name w:val="SmallX"/>
    <w:basedOn w:val="Small"/>
    <w:next w:val="Normal"/>
    <w:qFormat/>
    <w:rsid w:val="005E3ECA"/>
    <w:pPr>
      <w:spacing w:line="240" w:lineRule="exact"/>
    </w:pPr>
    <w:rPr>
      <w:spacing w:val="6"/>
      <w:w w:val="106"/>
      <w:sz w:val="14"/>
      <w:szCs w:val="21"/>
    </w:rPr>
  </w:style>
  <w:style w:type="paragraph" w:customStyle="1" w:styleId="XLarge">
    <w:name w:val="XLarge"/>
    <w:basedOn w:val="HM"/>
    <w:qFormat/>
    <w:rsid w:val="005E3E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E3ECA"/>
    <w:pPr>
      <w:spacing w:line="820" w:lineRule="exact"/>
    </w:pPr>
    <w:rPr>
      <w:spacing w:val="-8"/>
      <w:w w:val="96"/>
      <w:sz w:val="57"/>
      <w:szCs w:val="86"/>
    </w:rPr>
  </w:style>
  <w:style w:type="paragraph" w:customStyle="1" w:styleId="Distribution">
    <w:name w:val="Distribu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E3ECA"/>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5E3ECA"/>
    <w:pPr>
      <w:tabs>
        <w:tab w:val="left" w:pos="662"/>
        <w:tab w:val="left" w:pos="1267"/>
        <w:tab w:val="left" w:pos="1987"/>
        <w:tab w:val="left" w:pos="2650"/>
      </w:tabs>
      <w:spacing w:after="0"/>
      <w:ind w:left="662" w:hanging="662"/>
    </w:pPr>
  </w:style>
  <w:style w:type="paragraph" w:customStyle="1" w:styleId="Committee">
    <w:name w:val="Committee"/>
    <w:basedOn w:val="H1"/>
    <w:qFormat/>
    <w:rsid w:val="005E3ECA"/>
    <w:pPr>
      <w:tabs>
        <w:tab w:val="left" w:pos="662"/>
        <w:tab w:val="left" w:pos="1267"/>
        <w:tab w:val="left" w:pos="1987"/>
        <w:tab w:val="left" w:pos="2650"/>
      </w:tabs>
      <w:ind w:right="1264"/>
    </w:pPr>
  </w:style>
  <w:style w:type="paragraph" w:customStyle="1" w:styleId="AgendaItemNormal">
    <w:name w:val="Agenda_Item_Normal"/>
    <w:next w:val="Normal"/>
    <w:qFormat/>
    <w:rsid w:val="005E3ECA"/>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5E3E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E3E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E3E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E3E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E3ECA"/>
    <w:rPr>
      <w:i w:val="0"/>
      <w:color w:val="0000FF"/>
      <w:u w:val="none"/>
    </w:rPr>
  </w:style>
  <w:style w:type="paragraph" w:customStyle="1" w:styleId="Bullet1">
    <w:name w:val="Bullet 1"/>
    <w:basedOn w:val="Normal"/>
    <w:qFormat/>
    <w:rsid w:val="005E3ECA"/>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E3ECA"/>
    <w:pPr>
      <w:numPr>
        <w:numId w:val="19"/>
      </w:numPr>
      <w:spacing w:after="120" w:line="360" w:lineRule="exact"/>
      <w:ind w:right="1264"/>
    </w:pPr>
    <w:rPr>
      <w:kern w:val="14"/>
      <w:szCs w:val="28"/>
    </w:rPr>
  </w:style>
  <w:style w:type="paragraph" w:customStyle="1" w:styleId="Bullet3">
    <w:name w:val="Bullet 3"/>
    <w:basedOn w:val="SingleTxt"/>
    <w:qFormat/>
    <w:rsid w:val="005E3ECA"/>
    <w:pPr>
      <w:numPr>
        <w:numId w:val="20"/>
      </w:numPr>
      <w:tabs>
        <w:tab w:val="num" w:pos="2495"/>
      </w:tabs>
      <w:ind w:left="2495" w:hanging="545"/>
    </w:pPr>
  </w:style>
  <w:style w:type="paragraph" w:customStyle="1" w:styleId="AgendaTitleH2">
    <w:name w:val="Agenda_Title_H2"/>
    <w:basedOn w:val="H1"/>
    <w:next w:val="Normal"/>
    <w:qFormat/>
    <w:rsid w:val="005E3ECA"/>
    <w:pPr>
      <w:ind w:right="5760"/>
      <w:outlineLvl w:val="1"/>
    </w:pPr>
    <w:rPr>
      <w:spacing w:val="2"/>
      <w:sz w:val="20"/>
      <w:szCs w:val="28"/>
    </w:rPr>
  </w:style>
  <w:style w:type="paragraph" w:customStyle="1" w:styleId="STitleM">
    <w:name w:val="S_Title_M"/>
    <w:basedOn w:val="Normal"/>
    <w:next w:val="Normal"/>
    <w:qFormat/>
    <w:rsid w:val="005E3E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E3ECA"/>
    <w:pPr>
      <w:spacing w:line="600" w:lineRule="exact"/>
      <w:ind w:left="1267" w:right="1267"/>
    </w:pPr>
    <w:rPr>
      <w:w w:val="103"/>
      <w:sz w:val="60"/>
      <w:szCs w:val="60"/>
    </w:rPr>
  </w:style>
  <w:style w:type="paragraph" w:customStyle="1" w:styleId="STitleL">
    <w:name w:val="S_Title_L"/>
    <w:basedOn w:val="XLarge"/>
    <w:next w:val="Normal"/>
    <w:qFormat/>
    <w:rsid w:val="005E3ECA"/>
    <w:rPr>
      <w:spacing w:val="-8"/>
      <w:w w:val="96"/>
      <w:sz w:val="57"/>
    </w:rPr>
  </w:style>
  <w:style w:type="paragraph" w:styleId="CommentText">
    <w:name w:val="annotation text"/>
    <w:basedOn w:val="Normal"/>
    <w:link w:val="CommentTextChar"/>
    <w:uiPriority w:val="99"/>
    <w:semiHidden/>
    <w:unhideWhenUsed/>
    <w:rsid w:val="005E3ECA"/>
    <w:pPr>
      <w:spacing w:line="240" w:lineRule="auto"/>
    </w:pPr>
    <w:rPr>
      <w:kern w:val="14"/>
    </w:rPr>
  </w:style>
  <w:style w:type="character" w:customStyle="1" w:styleId="CommentTextChar">
    <w:name w:val="Comment Text Char"/>
    <w:basedOn w:val="DefaultParagraphFont"/>
    <w:link w:val="CommentText"/>
    <w:uiPriority w:val="99"/>
    <w:semiHidden/>
    <w:rsid w:val="005E3ECA"/>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5E3ECA"/>
    <w:rPr>
      <w:b/>
      <w:bCs/>
    </w:rPr>
  </w:style>
  <w:style w:type="character" w:customStyle="1" w:styleId="CommentSubjectChar">
    <w:name w:val="Comment Subject Char"/>
    <w:basedOn w:val="CommentTextChar"/>
    <w:link w:val="CommentSubject"/>
    <w:uiPriority w:val="99"/>
    <w:semiHidden/>
    <w:rsid w:val="005E3ECA"/>
    <w:rPr>
      <w:rFonts w:ascii="Times New Roman" w:hAnsi="Times New Roman" w:cs="Simplified Arabic"/>
      <w:b/>
      <w:bCs/>
      <w:kern w:val="14"/>
      <w:szCs w:val="22"/>
      <w:lang w:eastAsia="en-US"/>
    </w:rPr>
  </w:style>
  <w:style w:type="paragraph" w:customStyle="1" w:styleId="Bullet1G">
    <w:name w:val="_Bullet 1_G"/>
    <w:basedOn w:val="Normal"/>
    <w:qFormat/>
    <w:rsid w:val="005E3ECA"/>
    <w:pPr>
      <w:numPr>
        <w:numId w:val="21"/>
      </w:numPr>
      <w:bidi w:val="0"/>
      <w:spacing w:after="120"/>
      <w:ind w:right="1134"/>
      <w:jc w:val="both"/>
    </w:pPr>
    <w:rPr>
      <w:sz w:val="22"/>
    </w:rPr>
  </w:style>
  <w:style w:type="character" w:customStyle="1" w:styleId="SingleTxtGChar">
    <w:name w:val="_ Single Txt_G Char"/>
    <w:link w:val="SingleTxtG"/>
    <w:rsid w:val="005E3ECA"/>
    <w:rPr>
      <w:rFonts w:ascii="Times New Roman" w:hAnsi="Times New Roman" w:cs="Simplified Arabic"/>
      <w:lang w:val="en-GB" w:eastAsia="en-US"/>
    </w:rPr>
  </w:style>
  <w:style w:type="paragraph" w:customStyle="1" w:styleId="ReportCHGA">
    <w:name w:val="Report_CH_GA"/>
    <w:basedOn w:val="HChGA"/>
    <w:qFormat/>
    <w:rsid w:val="005E3ECA"/>
    <w:rPr>
      <w:sz w:val="44"/>
      <w:szCs w:val="44"/>
      <w:lang w:val="en-US" w:bidi="ar-DZ"/>
    </w:rPr>
  </w:style>
  <w:style w:type="paragraph" w:customStyle="1" w:styleId="Preparedby">
    <w:name w:val="Prepared by:"/>
    <w:basedOn w:val="H23GA"/>
    <w:qFormat/>
    <w:rsid w:val="005E3ECA"/>
    <w:rPr>
      <w:sz w:val="32"/>
      <w:szCs w:val="32"/>
    </w:rPr>
  </w:style>
  <w:style w:type="paragraph" w:customStyle="1" w:styleId="ParaNoG">
    <w:name w:val="_ParaNo._G"/>
    <w:basedOn w:val="SingleTxtG"/>
    <w:rsid w:val="005E3ECA"/>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E3E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E3E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E3ECA"/>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E3ECA"/>
    <w:rPr>
      <w:rFonts w:asciiTheme="minorHAnsi" w:eastAsiaTheme="minorEastAsia" w:hAnsiTheme="minorHAnsi" w:cstheme="minorBidi"/>
      <w:sz w:val="24"/>
      <w:szCs w:val="24"/>
      <w:lang w:val="fr-FR" w:eastAsia="fr-FR"/>
    </w:rPr>
  </w:style>
  <w:style w:type="paragraph" w:customStyle="1" w:styleId="Default">
    <w:name w:val="Default"/>
    <w:semiHidden/>
    <w:rsid w:val="005E3ECA"/>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5E3ECA"/>
  </w:style>
  <w:style w:type="character" w:customStyle="1" w:styleId="preferred">
    <w:name w:val="preferred"/>
    <w:basedOn w:val="DefaultParagraphFont"/>
    <w:rsid w:val="005E3ECA"/>
  </w:style>
  <w:style w:type="character" w:customStyle="1" w:styleId="admitted">
    <w:name w:val="admitted"/>
    <w:basedOn w:val="DefaultParagraphFont"/>
    <w:rsid w:val="005E3ECA"/>
  </w:style>
  <w:style w:type="paragraph" w:customStyle="1" w:styleId="FootnoteGA0">
    <w:name w:val="_Footnote_GA"/>
    <w:basedOn w:val="Normal"/>
    <w:qFormat/>
    <w:rsid w:val="005E3ECA"/>
    <w:pPr>
      <w:suppressAutoHyphens/>
      <w:spacing w:after="60" w:line="280" w:lineRule="exact"/>
      <w:ind w:left="1247" w:right="1247" w:hanging="567"/>
    </w:pPr>
    <w:rPr>
      <w:sz w:val="18"/>
      <w:szCs w:val="18"/>
      <w:lang w:val="es-ES_tradnl" w:eastAsia="zh-TW"/>
    </w:rPr>
  </w:style>
  <w:style w:type="paragraph" w:customStyle="1" w:styleId="Char2">
    <w:name w:val="Char2"/>
    <w:basedOn w:val="Normal"/>
    <w:link w:val="FootnoteReference"/>
    <w:uiPriority w:val="99"/>
    <w:rsid w:val="005E3ECA"/>
    <w:pPr>
      <w:bidi w:val="0"/>
      <w:spacing w:after="160" w:line="240" w:lineRule="exact"/>
      <w:jc w:val="both"/>
    </w:pPr>
    <w:rPr>
      <w:rFonts w:ascii="Calibri" w:hAnsi="Calibri" w:cs="Arial"/>
      <w:szCs w:val="18"/>
      <w:vertAlign w:val="superscript"/>
      <w:lang w:eastAsia="zh-CN"/>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E3ECA"/>
    <w:rPr>
      <w:rFonts w:ascii="Times New Roman"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ilo.org/dyn/normlex/en/f?p=1000:13100:0::NO:13100:P13100_COMMENT_ID:3289947:NO" TargetMode="External"/><Relationship Id="rId2" Type="http://schemas.openxmlformats.org/officeDocument/2006/relationships/hyperlink" Target="http://www.ilo.org/dyn/normlex/en/f?p=1000:13100:0::NO:13100:P13100_COMMENT_ID:3295134:NO" TargetMode="External"/><Relationship Id="rId1" Type="http://schemas.openxmlformats.org/officeDocument/2006/relationships/hyperlink" Target="https://www.ohchr.org/EN/HRBodies/UPR/Pages/SRindex.aspx" TargetMode="External"/><Relationship Id="rId5" Type="http://schemas.openxmlformats.org/officeDocument/2006/relationships/hyperlink" Target="http://www.ilo.org/dyn/normlex/en/f?p=1000:13100:0::NO:13100:P13100_COMMENT_ID:3962786:NO" TargetMode="External"/><Relationship Id="rId4" Type="http://schemas.openxmlformats.org/officeDocument/2006/relationships/hyperlink" Target="http://www.ilo.org/dyn/normlex/en/f?p=1000:13100:0::NO:13100:P13100_COMMENT_ID:3956501:NO"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hnam\Document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BCCA-CECA-41F5-A469-0BB4B657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15</Pages>
  <Words>3723</Words>
  <Characters>27409</Characters>
  <Application>Microsoft Office Word</Application>
  <DocSecurity>0</DocSecurity>
  <Lines>3426</Lines>
  <Paragraphs>2594</Paragraphs>
  <ScaleCrop>false</ScaleCrop>
  <HeadingPairs>
    <vt:vector size="2" baseType="variant">
      <vt:variant>
        <vt:lpstr>Title</vt:lpstr>
      </vt:variant>
      <vt:variant>
        <vt:i4>1</vt:i4>
      </vt:variant>
    </vt:vector>
  </HeadingPairs>
  <TitlesOfParts>
    <vt:vector size="1" baseType="lpstr">
      <vt:lpstr>A/HRC/WG.6/39/SUR/2</vt:lpstr>
    </vt:vector>
  </TitlesOfParts>
  <Company>DCM</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A/HRC/WG.6/39/SUR/2</dc:title>
  <dc:subject>GE.2111133(A)</dc:subject>
  <dc:creator>Muntaha BUHNAM - MBA</dc:creator>
  <cp:keywords>GE.2122350(A)</cp:keywords>
  <dc:description>Distr.: General
12 August 2021
Arabic
Original: English</dc:description>
  <cp:lastModifiedBy>Gamal MAHMOUD</cp:lastModifiedBy>
  <cp:revision>2</cp:revision>
  <dcterms:created xsi:type="dcterms:W3CDTF">2021-09-07T11:42:00Z</dcterms:created>
  <dcterms:modified xsi:type="dcterms:W3CDTF">2021-09-07T11:42:00Z</dcterms:modified>
  <cp:category>Final</cp:category>
</cp:coreProperties>
</file>