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67EA120" w14:textId="77777777" w:rsidTr="00865660">
        <w:trPr>
          <w:trHeight w:hRule="exact" w:val="851"/>
        </w:trPr>
        <w:tc>
          <w:tcPr>
            <w:tcW w:w="142" w:type="dxa"/>
            <w:tcBorders>
              <w:bottom w:val="single" w:sz="4" w:space="0" w:color="auto"/>
            </w:tcBorders>
          </w:tcPr>
          <w:p w14:paraId="14256786" w14:textId="77777777" w:rsidR="002D5AAC" w:rsidRDefault="002D5AAC" w:rsidP="00B100F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A014270" w14:textId="77777777"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D5EBCD3" w14:textId="508061ED" w:rsidR="002D5AAC" w:rsidRDefault="00B100FF" w:rsidP="00B100FF">
            <w:pPr>
              <w:jc w:val="right"/>
            </w:pPr>
            <w:r w:rsidRPr="00B100FF">
              <w:rPr>
                <w:sz w:val="40"/>
              </w:rPr>
              <w:t>A</w:t>
            </w:r>
            <w:r>
              <w:t>/HRC/WG.6/39/SUR/2</w:t>
            </w:r>
          </w:p>
        </w:tc>
      </w:tr>
      <w:tr w:rsidR="002D5AAC" w:rsidRPr="00F15FF3" w14:paraId="25145567" w14:textId="77777777" w:rsidTr="00782C09">
        <w:trPr>
          <w:trHeight w:hRule="exact" w:val="2835"/>
        </w:trPr>
        <w:tc>
          <w:tcPr>
            <w:tcW w:w="1280" w:type="dxa"/>
            <w:gridSpan w:val="2"/>
            <w:tcBorders>
              <w:top w:val="single" w:sz="4" w:space="0" w:color="auto"/>
              <w:bottom w:val="single" w:sz="12" w:space="0" w:color="auto"/>
            </w:tcBorders>
          </w:tcPr>
          <w:p w14:paraId="52F8247C" w14:textId="77777777" w:rsidR="002D5AAC" w:rsidRDefault="002E5067" w:rsidP="00782C09">
            <w:pPr>
              <w:spacing w:before="120"/>
              <w:jc w:val="center"/>
            </w:pPr>
            <w:r>
              <w:rPr>
                <w:noProof/>
                <w:lang w:val="fr-CH" w:eastAsia="fr-CH"/>
              </w:rPr>
              <w:drawing>
                <wp:inline distT="0" distB="0" distL="0" distR="0" wp14:anchorId="19125A0A" wp14:editId="7014F71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49C9D6A" w14:textId="77777777"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14:paraId="1347B563" w14:textId="77777777" w:rsidR="002D5AAC" w:rsidRDefault="00B100FF" w:rsidP="00782C09">
            <w:pPr>
              <w:spacing w:before="240"/>
              <w:rPr>
                <w:lang w:val="en-US"/>
              </w:rPr>
            </w:pPr>
            <w:r>
              <w:rPr>
                <w:lang w:val="en-US"/>
              </w:rPr>
              <w:t>Distr.: General</w:t>
            </w:r>
          </w:p>
          <w:p w14:paraId="0E73509C" w14:textId="77777777" w:rsidR="00B100FF" w:rsidRDefault="00B100FF" w:rsidP="00B100FF">
            <w:pPr>
              <w:spacing w:line="240" w:lineRule="exact"/>
              <w:rPr>
                <w:lang w:val="en-US"/>
              </w:rPr>
            </w:pPr>
            <w:r>
              <w:rPr>
                <w:lang w:val="en-US"/>
              </w:rPr>
              <w:t>12 August 2021</w:t>
            </w:r>
          </w:p>
          <w:p w14:paraId="5EEAC3BD" w14:textId="77777777" w:rsidR="00B100FF" w:rsidRDefault="00B100FF" w:rsidP="00B100FF">
            <w:pPr>
              <w:spacing w:line="240" w:lineRule="exact"/>
              <w:rPr>
                <w:lang w:val="en-US"/>
              </w:rPr>
            </w:pPr>
            <w:r>
              <w:rPr>
                <w:lang w:val="en-US"/>
              </w:rPr>
              <w:t>Russian</w:t>
            </w:r>
          </w:p>
          <w:p w14:paraId="574FA25B" w14:textId="6FE35DC0" w:rsidR="00B100FF" w:rsidRPr="00E71476" w:rsidRDefault="00B100FF" w:rsidP="00B100FF">
            <w:pPr>
              <w:spacing w:line="240" w:lineRule="exact"/>
              <w:rPr>
                <w:lang w:val="en-US"/>
              </w:rPr>
            </w:pPr>
            <w:r>
              <w:rPr>
                <w:lang w:val="en-US"/>
              </w:rPr>
              <w:t>Original: English</w:t>
            </w:r>
          </w:p>
        </w:tc>
      </w:tr>
    </w:tbl>
    <w:p w14:paraId="181D09D1" w14:textId="77777777" w:rsidR="00DF71B9" w:rsidRPr="00F15FF3" w:rsidRDefault="00DF71B9" w:rsidP="006F0B59">
      <w:pPr>
        <w:spacing w:before="120"/>
        <w:rPr>
          <w:b/>
          <w:sz w:val="24"/>
          <w:szCs w:val="24"/>
        </w:rPr>
      </w:pPr>
      <w:r w:rsidRPr="001313C8">
        <w:rPr>
          <w:b/>
          <w:sz w:val="24"/>
          <w:szCs w:val="24"/>
        </w:rPr>
        <w:t>Совет по правам человека</w:t>
      </w:r>
    </w:p>
    <w:p w14:paraId="728093C0" w14:textId="307206BD" w:rsidR="00B100FF" w:rsidRPr="00A55A70" w:rsidRDefault="00B100FF" w:rsidP="00B100FF">
      <w:pPr>
        <w:rPr>
          <w:b/>
        </w:rPr>
      </w:pPr>
      <w:r>
        <w:rPr>
          <w:b/>
          <w:bCs/>
        </w:rPr>
        <w:t xml:space="preserve">Рабочая группа по универсальному </w:t>
      </w:r>
      <w:r>
        <w:rPr>
          <w:b/>
          <w:bCs/>
        </w:rPr>
        <w:br/>
        <w:t>периодическому обзору</w:t>
      </w:r>
    </w:p>
    <w:p w14:paraId="49B110DB" w14:textId="77777777" w:rsidR="00B100FF" w:rsidRPr="00A55A70" w:rsidRDefault="00B100FF" w:rsidP="00B100FF">
      <w:r>
        <w:rPr>
          <w:b/>
          <w:bCs/>
        </w:rPr>
        <w:t>Тридцать девятая сессия</w:t>
      </w:r>
    </w:p>
    <w:p w14:paraId="28E06ED0" w14:textId="534A9FD4" w:rsidR="00B100FF" w:rsidRPr="00A55A70" w:rsidRDefault="00B100FF" w:rsidP="00B100FF">
      <w:r>
        <w:t>1–12 ноября 2021 года</w:t>
      </w:r>
    </w:p>
    <w:p w14:paraId="4507DF74" w14:textId="77777777" w:rsidR="00B100FF" w:rsidRPr="00A55A70" w:rsidRDefault="00B100FF" w:rsidP="00B100FF">
      <w:pPr>
        <w:pStyle w:val="HChG"/>
      </w:pPr>
      <w:r>
        <w:tab/>
      </w:r>
      <w:r>
        <w:tab/>
      </w:r>
      <w:r>
        <w:rPr>
          <w:bCs/>
        </w:rPr>
        <w:t>Подборка информации по Суринаму</w:t>
      </w:r>
    </w:p>
    <w:p w14:paraId="5A144054" w14:textId="77777777" w:rsidR="00B100FF" w:rsidRPr="00A55A70" w:rsidRDefault="00B100FF" w:rsidP="00B100FF">
      <w:pPr>
        <w:pStyle w:val="H1G"/>
      </w:pPr>
      <w:r>
        <w:tab/>
      </w:r>
      <w:r>
        <w:tab/>
      </w:r>
      <w:r>
        <w:rPr>
          <w:bCs/>
        </w:rPr>
        <w:t>Доклад Управления Верховного комиссара Организации Объединенных Наций по правам человека</w:t>
      </w:r>
    </w:p>
    <w:p w14:paraId="55F4B287" w14:textId="77777777" w:rsidR="00B100FF" w:rsidRPr="00A55A70" w:rsidRDefault="00B100FF" w:rsidP="00B100FF">
      <w:pPr>
        <w:pStyle w:val="HChG"/>
      </w:pPr>
      <w:r>
        <w:tab/>
        <w:t xml:space="preserve">I. </w:t>
      </w:r>
      <w:r>
        <w:tab/>
      </w:r>
      <w:r>
        <w:rPr>
          <w:bCs/>
        </w:rPr>
        <w:t>Справочная информация</w:t>
      </w:r>
    </w:p>
    <w:p w14:paraId="2771C0FB" w14:textId="097B5FCB" w:rsidR="00B100FF" w:rsidRPr="00A55A70" w:rsidRDefault="00B100FF" w:rsidP="00E36959">
      <w:pPr>
        <w:pStyle w:val="SingleTxtG"/>
      </w:pPr>
      <w:r>
        <w:t>1.</w:t>
      </w:r>
      <w:r>
        <w:tab/>
        <w:t>Настоящий доклад был подготовлен в соответствии с резолюциями 5/1 и 16/21 Совета по правам человека с учетом периодичности универсального периодического обзора. Он представляет собой подборку информации, которая содержится в докладах договорных органов и мандатариев специальных процедур, а</w:t>
      </w:r>
      <w:r w:rsidR="00E36959" w:rsidRPr="00E36959">
        <w:t xml:space="preserve"> </w:t>
      </w:r>
      <w:r>
        <w:t>также в других соответствующих документах Организации Объединенных Наций и которая излагается в сжатой форме в связи с ограничениями в отношении объема документов.</w:t>
      </w:r>
    </w:p>
    <w:p w14:paraId="52053227" w14:textId="5D16A298" w:rsidR="00B100FF" w:rsidRPr="00A55A70" w:rsidRDefault="00B100FF" w:rsidP="00B100FF">
      <w:pPr>
        <w:pStyle w:val="HChG"/>
      </w:pPr>
      <w:r>
        <w:tab/>
        <w:t>II.</w:t>
      </w:r>
      <w:r>
        <w:tab/>
        <w:t>Объем международных обязательств и сотрудничество с</w:t>
      </w:r>
      <w:r>
        <w:rPr>
          <w:lang w:val="en-US"/>
        </w:rPr>
        <w:t> </w:t>
      </w:r>
      <w:r>
        <w:t>международными правозащитными механизмами и</w:t>
      </w:r>
      <w:r>
        <w:rPr>
          <w:lang w:val="en-US"/>
        </w:rPr>
        <w:t> </w:t>
      </w:r>
      <w:r>
        <w:t>органами</w:t>
      </w:r>
      <w:r w:rsidRPr="00B100FF">
        <w:rPr>
          <w:rStyle w:val="ab"/>
          <w:b w:val="0"/>
          <w:bCs/>
          <w:szCs w:val="18"/>
        </w:rPr>
        <w:endnoteReference w:id="1"/>
      </w:r>
      <w:r w:rsidRPr="00E36959">
        <w:rPr>
          <w:b w:val="0"/>
          <w:bCs/>
          <w:sz w:val="18"/>
          <w:szCs w:val="18"/>
          <w:vertAlign w:val="superscript"/>
        </w:rPr>
        <w:t>,</w:t>
      </w:r>
      <w:r w:rsidRPr="00F15FF3">
        <w:rPr>
          <w:b w:val="0"/>
          <w:bCs/>
          <w:sz w:val="20"/>
          <w:vertAlign w:val="superscript"/>
        </w:rPr>
        <w:t xml:space="preserve"> </w:t>
      </w:r>
      <w:r w:rsidRPr="00B100FF">
        <w:rPr>
          <w:rStyle w:val="ab"/>
          <w:b w:val="0"/>
          <w:bCs/>
        </w:rPr>
        <w:endnoteReference w:id="2"/>
      </w:r>
    </w:p>
    <w:p w14:paraId="2C61DB42" w14:textId="77777777" w:rsidR="00B100FF" w:rsidRPr="00A55A70" w:rsidRDefault="00B100FF" w:rsidP="00B100FF">
      <w:pPr>
        <w:pStyle w:val="SingleTxtG"/>
      </w:pPr>
      <w:r>
        <w:t>2.</w:t>
      </w:r>
      <w:r>
        <w:tab/>
        <w:t>Страновая группа Организации Объединенных Наций по Суринаму рекомендовала правительству ратифицировать Конвенцию против пыток и других жестоких, бесчеловечных или унижающих достоинство видов обращения и наказания, Международную конвенцию о защите прав всех трудящихся-мигрантов и членов их семей, Международную конвенцию для защиты всех лиц от насильственных исчезновений, Факультативный протокол к Международному пакту об экономических, социальных и культурных правах, Факультативный протокол к Конвенции о ликвидации всех форм дискриминации в отношении женщин и Факультативный протокол к Конвенции о правах инвалидов</w:t>
      </w:r>
      <w:r>
        <w:rPr>
          <w:rStyle w:val="ab"/>
        </w:rPr>
        <w:endnoteReference w:id="3"/>
      </w:r>
      <w:r>
        <w:t>.</w:t>
      </w:r>
    </w:p>
    <w:p w14:paraId="41254BB1" w14:textId="77777777" w:rsidR="00B100FF" w:rsidRPr="00A55A70" w:rsidRDefault="00B100FF" w:rsidP="00B100FF">
      <w:pPr>
        <w:pStyle w:val="SingleTxtG"/>
      </w:pPr>
      <w:r>
        <w:t>3.</w:t>
      </w:r>
      <w:r>
        <w:tab/>
        <w:t>Комитет по правам ребенка рекомендовал государству ратифицировать Факультативный протокол к Конвенции о правах ребенка, касающийся процедуры сообщений</w:t>
      </w:r>
      <w:r>
        <w:rPr>
          <w:rStyle w:val="ab"/>
        </w:rPr>
        <w:endnoteReference w:id="4"/>
      </w:r>
      <w:r>
        <w:t>.</w:t>
      </w:r>
    </w:p>
    <w:p w14:paraId="4ED5A189" w14:textId="77777777" w:rsidR="00B100FF" w:rsidRPr="00A55A70" w:rsidRDefault="00B100FF" w:rsidP="00B100FF">
      <w:pPr>
        <w:pStyle w:val="SingleTxtG"/>
      </w:pPr>
      <w:r>
        <w:t>4.</w:t>
      </w:r>
      <w:r>
        <w:tab/>
        <w:t>Комитет по ликвидации дискриминации в отношении женщин рекомендовал государству ратифицировать Конвенцию Международной организации труда (МОТ) № 169 о коренных народах и народах, ведущих племенной образ жизни, 1989 года</w:t>
      </w:r>
      <w:r w:rsidRPr="008A4607">
        <w:rPr>
          <w:rStyle w:val="ab"/>
        </w:rPr>
        <w:endnoteReference w:id="5"/>
      </w:r>
      <w:r>
        <w:t>.</w:t>
      </w:r>
    </w:p>
    <w:p w14:paraId="74A2F59C" w14:textId="77777777" w:rsidR="00B100FF" w:rsidRPr="00A55A70" w:rsidRDefault="00B100FF" w:rsidP="00B100FF">
      <w:pPr>
        <w:pStyle w:val="SingleTxtG"/>
        <w:pageBreakBefore/>
      </w:pPr>
      <w:r>
        <w:lastRenderedPageBreak/>
        <w:t>5.</w:t>
      </w:r>
      <w:r>
        <w:tab/>
        <w:t>Управление Верховного комиссара Организации Объединенных Наций по делам беженцев (УВКБ) рекомендовало правительству подписать и ратифицировать Конвенцию 1954 года о статусе апатридов и Конвенцию 1961 года о сокращении безгражданства</w:t>
      </w:r>
      <w:r w:rsidRPr="008A4607">
        <w:rPr>
          <w:rStyle w:val="ab"/>
        </w:rPr>
        <w:endnoteReference w:id="6"/>
      </w:r>
      <w:r>
        <w:t>.</w:t>
      </w:r>
    </w:p>
    <w:p w14:paraId="2AB550A4" w14:textId="77777777" w:rsidR="00B100FF" w:rsidRPr="00A55A70" w:rsidRDefault="00B100FF" w:rsidP="00B100FF">
      <w:pPr>
        <w:pStyle w:val="SingleTxtG"/>
      </w:pPr>
      <w:r>
        <w:t>6.</w:t>
      </w:r>
      <w:r>
        <w:tab/>
        <w:t>Комитет по правам ребенка настоятельно призвал государство рассмотреть возможность ратификации Конвенции МОТ № 138 о минимальном возрасте 1973 года и обратиться за технической помощью в рамках Международной программы МОТ по упразднению детского труда</w:t>
      </w:r>
      <w:r w:rsidRPr="008A4607">
        <w:rPr>
          <w:rStyle w:val="ab"/>
        </w:rPr>
        <w:endnoteReference w:id="7"/>
      </w:r>
      <w:r>
        <w:t>.</w:t>
      </w:r>
    </w:p>
    <w:p w14:paraId="08E37DDF" w14:textId="77777777" w:rsidR="00B100FF" w:rsidRPr="00A55A70" w:rsidRDefault="00B100FF" w:rsidP="00B100FF">
      <w:pPr>
        <w:pStyle w:val="SingleTxtG"/>
      </w:pPr>
      <w:r>
        <w:t>7.</w:t>
      </w:r>
      <w:r>
        <w:tab/>
        <w:t>Комитет по правам ребенка вновь рекомендовал государству рассмотреть возможность ратификации Гаагской конвенции о защите детей и сотрудничестве в области международного усыновления</w:t>
      </w:r>
      <w:r w:rsidRPr="008A4607">
        <w:rPr>
          <w:rStyle w:val="ab"/>
        </w:rPr>
        <w:endnoteReference w:id="8"/>
      </w:r>
      <w:r>
        <w:t>.</w:t>
      </w:r>
    </w:p>
    <w:p w14:paraId="1A6082C5" w14:textId="77777777" w:rsidR="00B100FF" w:rsidRPr="00A55A70" w:rsidRDefault="00B100FF" w:rsidP="00B100FF">
      <w:pPr>
        <w:pStyle w:val="SingleTxtG"/>
      </w:pPr>
      <w:r>
        <w:t>8.</w:t>
      </w:r>
      <w:r>
        <w:tab/>
        <w:t>Организация Объединенных Наций по вопросам образования, науки и культуры (ЮНЕСКО) заявила о том, что к Суринаму следует обратиться с призывом ратифицировать Конвенцию о борьбе с дискриминацией в области образования</w:t>
      </w:r>
      <w:r w:rsidRPr="008A4607">
        <w:rPr>
          <w:rStyle w:val="ab"/>
        </w:rPr>
        <w:endnoteReference w:id="9"/>
      </w:r>
      <w:r>
        <w:t>.</w:t>
      </w:r>
    </w:p>
    <w:p w14:paraId="0385803C" w14:textId="77777777" w:rsidR="00B100FF" w:rsidRPr="00A55A70" w:rsidRDefault="00B100FF" w:rsidP="00B100FF">
      <w:pPr>
        <w:pStyle w:val="SingleTxtG"/>
      </w:pPr>
      <w:r>
        <w:t>9.</w:t>
      </w:r>
      <w:r>
        <w:tab/>
        <w:t>ЮНЕСКО призвала правительство ратифицировать Конвенцию об охране и поощрении разнообразия форм культурного самовыражения</w:t>
      </w:r>
      <w:r w:rsidRPr="008A4607">
        <w:rPr>
          <w:rStyle w:val="ab"/>
        </w:rPr>
        <w:endnoteReference w:id="10"/>
      </w:r>
      <w:r>
        <w:t>.</w:t>
      </w:r>
    </w:p>
    <w:p w14:paraId="339527E8" w14:textId="77777777" w:rsidR="00B100FF" w:rsidRPr="00A55A70" w:rsidRDefault="00B100FF" w:rsidP="00B100FF">
      <w:pPr>
        <w:pStyle w:val="SingleTxtG"/>
      </w:pPr>
      <w:r>
        <w:t>10.</w:t>
      </w:r>
      <w:r>
        <w:tab/>
        <w:t>Страновая группа Организации Объединенных Наций рекомендовала правительству направить постоянное приглашение всем мандатариям специальных процедур Совета по правам человека</w:t>
      </w:r>
      <w:r w:rsidRPr="008A4607">
        <w:rPr>
          <w:rStyle w:val="ab"/>
        </w:rPr>
        <w:endnoteReference w:id="11"/>
      </w:r>
      <w:r>
        <w:t>.</w:t>
      </w:r>
    </w:p>
    <w:p w14:paraId="7C28CC44" w14:textId="77777777" w:rsidR="00B100FF" w:rsidRPr="00A55A70" w:rsidRDefault="00B100FF" w:rsidP="00B100FF">
      <w:pPr>
        <w:pStyle w:val="SingleTxtG"/>
      </w:pPr>
      <w:r>
        <w:t>11.</w:t>
      </w:r>
      <w:r>
        <w:tab/>
        <w:t>Страновая группа также рекомендовала правительству представить просроченные доклады по Международному пакту об экономических, социальных и культурных правах и Конвенции о правах инвалидов, а также продолжить сотрудничество с правозащитными механизмами Организации Объединенных Наций</w:t>
      </w:r>
      <w:r w:rsidRPr="008A4607">
        <w:rPr>
          <w:rStyle w:val="ab"/>
        </w:rPr>
        <w:endnoteReference w:id="12"/>
      </w:r>
      <w:r>
        <w:t>.</w:t>
      </w:r>
    </w:p>
    <w:p w14:paraId="44313680" w14:textId="522B4F33" w:rsidR="00B100FF" w:rsidRPr="00A55A70" w:rsidRDefault="00B100FF" w:rsidP="00B100FF">
      <w:pPr>
        <w:pStyle w:val="HChG"/>
      </w:pPr>
      <w:r>
        <w:tab/>
        <w:t>III.</w:t>
      </w:r>
      <w:r>
        <w:tab/>
      </w:r>
      <w:r>
        <w:rPr>
          <w:bCs/>
        </w:rPr>
        <w:t>Национальная нормативно-правовая база в области прав человека</w:t>
      </w:r>
      <w:r w:rsidRPr="00B100FF">
        <w:rPr>
          <w:rStyle w:val="ab"/>
          <w:b w:val="0"/>
          <w:bCs/>
        </w:rPr>
        <w:endnoteReference w:id="13"/>
      </w:r>
    </w:p>
    <w:p w14:paraId="2F04B89F" w14:textId="77777777" w:rsidR="00B100FF" w:rsidRPr="00A55A70" w:rsidRDefault="00B100FF" w:rsidP="00B100FF">
      <w:pPr>
        <w:pStyle w:val="SingleTxtG"/>
      </w:pPr>
      <w:r>
        <w:t>12.</w:t>
      </w:r>
      <w:r>
        <w:tab/>
        <w:t>Комитет по ликвидации дискриминации в отношении женщин приветствовал создание в 2016 году Национального института по правам человека, но выразил сожаление, что он еще не начал свою работу. Комитет призвал государство обеспечить функционирование Института в соответствии с принципами, касающимися статуса национальных учреждений, занимающихся поощрением и защитой прав человека (Парижские принципы), с широким мандатом, включая поощрение и защиту прав женщин и обеспечение гендерного равенства. Он также рекомендовал государству предоставлять Институту достаточные кадровые, технические и финансовые ресурсы, а также обеспечивать, чтобы он проводил мероприятия по укреплению потенциала своих сотрудников по гендерным вопросам и правам женщин в соответствии с Конвенцией о ликвидации всех форм дискриминации в отношении женщин</w:t>
      </w:r>
      <w:r w:rsidRPr="008A4607">
        <w:rPr>
          <w:rStyle w:val="ab"/>
        </w:rPr>
        <w:endnoteReference w:id="14"/>
      </w:r>
      <w:r>
        <w:t>.</w:t>
      </w:r>
    </w:p>
    <w:p w14:paraId="632B89B8" w14:textId="6ABF149B" w:rsidR="00B100FF" w:rsidRPr="00A55A70" w:rsidRDefault="00B100FF" w:rsidP="00B100FF">
      <w:pPr>
        <w:pStyle w:val="HChG"/>
      </w:pPr>
      <w:r>
        <w:tab/>
        <w:t>IV.</w:t>
      </w:r>
      <w:r>
        <w:tab/>
        <w:t>Осуществление международных обязательств в области прав человека с учетом применимых норм международного гуманитарного права</w:t>
      </w:r>
    </w:p>
    <w:p w14:paraId="184F4F82" w14:textId="628A320A" w:rsidR="00B100FF" w:rsidRPr="00A55A70" w:rsidRDefault="00B100FF" w:rsidP="00B100FF">
      <w:pPr>
        <w:pStyle w:val="H1G"/>
      </w:pPr>
      <w:r>
        <w:tab/>
        <w:t>A.</w:t>
      </w:r>
      <w:r>
        <w:tab/>
      </w:r>
      <w:r>
        <w:rPr>
          <w:bCs/>
        </w:rPr>
        <w:t>Сквозные вопросы</w:t>
      </w:r>
    </w:p>
    <w:p w14:paraId="35A9E4C6" w14:textId="6AAE93A7" w:rsidR="00B100FF" w:rsidRPr="00B100FF" w:rsidRDefault="00B100FF" w:rsidP="00B100FF">
      <w:pPr>
        <w:pStyle w:val="H23G"/>
        <w:rPr>
          <w:b w:val="0"/>
          <w:bCs/>
        </w:rPr>
      </w:pPr>
      <w:r>
        <w:tab/>
        <w:t>1.</w:t>
      </w:r>
      <w:r>
        <w:tab/>
      </w:r>
      <w:r>
        <w:rPr>
          <w:bCs/>
        </w:rPr>
        <w:t>Равенство и недискриминация</w:t>
      </w:r>
      <w:r w:rsidRPr="00B100FF">
        <w:rPr>
          <w:rStyle w:val="ab"/>
          <w:b w:val="0"/>
          <w:bCs/>
        </w:rPr>
        <w:endnoteReference w:id="15"/>
      </w:r>
    </w:p>
    <w:p w14:paraId="51BA62C2" w14:textId="77777777" w:rsidR="00B100FF" w:rsidRPr="00A55A70" w:rsidRDefault="00B100FF" w:rsidP="00B100FF">
      <w:pPr>
        <w:pStyle w:val="SingleTxtG"/>
      </w:pPr>
      <w:r>
        <w:t>13.</w:t>
      </w:r>
      <w:r>
        <w:tab/>
        <w:t xml:space="preserve">Комитет по ликвидации дискриминации в отношении женщин рекомендовал государству принять законопроект о равном обращении с женщинами и мужчинами и обеспечить, чтобы он включал в себя определение дискриминации в отношении женщин, включая пересекающиеся формы дискриминации, и запрещал прямую и косвенную дискриминацию в государственной и частной сферах в соответствии со </w:t>
      </w:r>
      <w:r>
        <w:lastRenderedPageBreak/>
        <w:t>статьей 1 Конвенции о ликвидации всех форм дискриминации в отношении женщин и предыдущими заключительными замечаниями Комитета</w:t>
      </w:r>
      <w:r w:rsidRPr="008A4607">
        <w:rPr>
          <w:rStyle w:val="ab"/>
        </w:rPr>
        <w:endnoteReference w:id="16"/>
      </w:r>
      <w:r>
        <w:t>.</w:t>
      </w:r>
    </w:p>
    <w:p w14:paraId="766B9CB7" w14:textId="3F8666C2" w:rsidR="00B100FF" w:rsidRPr="00A55A70" w:rsidRDefault="00B100FF" w:rsidP="00B100FF">
      <w:pPr>
        <w:pStyle w:val="SingleTxtG"/>
      </w:pPr>
      <w:r>
        <w:t>14.</w:t>
      </w:r>
      <w:r>
        <w:tab/>
        <w:t>Комитет по правам ребенка рекомендовал государству активизировать усилия по обеспечению ликвидации на практике всех форм дискриминации в отношении детей, являющихся представителями индейских и маронских общин, детей гаитянских мигрантов, детей, живущих с ВИЧ/СПИДом, детей из числа лесбиянок, геев, бисексуалов, трангендеров и интерсексуалов и других групп детей, находящихся в маргинализированном положении, посредством, в частности, проведения информационно-просветительских кампаний и учебных мероприятий, особенно на уровне общин и в школах</w:t>
      </w:r>
      <w:r w:rsidRPr="008A4607">
        <w:rPr>
          <w:rStyle w:val="ab"/>
        </w:rPr>
        <w:endnoteReference w:id="17"/>
      </w:r>
      <w:r>
        <w:t>.</w:t>
      </w:r>
    </w:p>
    <w:p w14:paraId="19681C6F" w14:textId="77777777" w:rsidR="00B100FF" w:rsidRPr="00A55A70" w:rsidRDefault="00B100FF" w:rsidP="00B100FF">
      <w:pPr>
        <w:pStyle w:val="SingleTxtG"/>
      </w:pPr>
      <w:r>
        <w:t>15.</w:t>
      </w:r>
      <w:r>
        <w:tab/>
        <w:t>Страновая группа Организации Объединенных Наций заявила, что правительство Суринама не приложило достаточных усилий для принятия законодательных и других мер по установлению прямого запрета на дискриминацию по признаку сексуальной ориентации и гендерной идентичности и не активизировало меры по предотвращению насилия в отношении лесбиянок, геев, бисексуалов, трансгендеров и интерсексуалов и наказанию за него. Также отсутствуют нормативно-правовые акты, которые бы конкретно касались статуса трансгендерных людей. Она рекомендовала правительству принять законодательство, специально направленное на борьбу с дискриминаций в отношении лесбиянок, геев, бисексуалов, трансгендеров и интерсексуалов</w:t>
      </w:r>
      <w:r w:rsidRPr="008A4607">
        <w:rPr>
          <w:rStyle w:val="ab"/>
          <w:color w:val="000000"/>
          <w:lang w:eastAsia="en-GB"/>
        </w:rPr>
        <w:endnoteReference w:id="18"/>
      </w:r>
      <w:r>
        <w:t>.</w:t>
      </w:r>
    </w:p>
    <w:p w14:paraId="4A177CDB" w14:textId="77777777" w:rsidR="00B100FF" w:rsidRPr="00A55A70" w:rsidRDefault="00B100FF" w:rsidP="00B100FF">
      <w:pPr>
        <w:pStyle w:val="SingleTxtG"/>
      </w:pPr>
      <w:r>
        <w:t>16.</w:t>
      </w:r>
      <w:r>
        <w:tab/>
        <w:t>Комитет по ликвидации дискриминации в отношении женщин выразил обеспокоенность тем, что лесбиянки, бисексуалки, транссексуалки и интерсексуалы продолжают подвергаться дискриминации и притеснениям, в частности в том, что касается их права на образование, занятость и охрану здоровья</w:t>
      </w:r>
      <w:r w:rsidRPr="008A4607">
        <w:rPr>
          <w:rStyle w:val="ab"/>
        </w:rPr>
        <w:endnoteReference w:id="19"/>
      </w:r>
      <w:r>
        <w:t>.</w:t>
      </w:r>
    </w:p>
    <w:p w14:paraId="021DAFAF" w14:textId="77777777" w:rsidR="00B100FF" w:rsidRPr="00A55A70" w:rsidRDefault="00B100FF" w:rsidP="00B100FF">
      <w:pPr>
        <w:pStyle w:val="H23G"/>
      </w:pPr>
      <w:r>
        <w:tab/>
        <w:t xml:space="preserve">2. </w:t>
      </w:r>
      <w:r>
        <w:tab/>
      </w:r>
      <w:r>
        <w:rPr>
          <w:bCs/>
        </w:rPr>
        <w:t>Развитие, окружающая среда, предпринимательская деятельность в аспекте прав человека</w:t>
      </w:r>
      <w:r w:rsidRPr="00B100FF">
        <w:rPr>
          <w:rStyle w:val="ab"/>
          <w:b w:val="0"/>
          <w:bCs/>
        </w:rPr>
        <w:endnoteReference w:id="20"/>
      </w:r>
    </w:p>
    <w:p w14:paraId="47E9830C" w14:textId="77777777" w:rsidR="00B100FF" w:rsidRPr="00A55A70" w:rsidRDefault="00B100FF" w:rsidP="00B100FF">
      <w:pPr>
        <w:pStyle w:val="SingleTxtG"/>
      </w:pPr>
      <w:r>
        <w:t>17.</w:t>
      </w:r>
      <w:r>
        <w:tab/>
        <w:t>Комитет по правам ребенка рекомендовал государству принять меры по борьбе со всеми формами коррупции, которые негативно влияют на экономическое развитие государства, включая принятие законопроекта о борьбе с коррупцией</w:t>
      </w:r>
      <w:r w:rsidRPr="008A4607">
        <w:rPr>
          <w:rStyle w:val="ab"/>
        </w:rPr>
        <w:endnoteReference w:id="21"/>
      </w:r>
      <w:r>
        <w:t>.</w:t>
      </w:r>
    </w:p>
    <w:p w14:paraId="64553F39" w14:textId="77777777" w:rsidR="00B100FF" w:rsidRPr="00A55A70" w:rsidRDefault="00B100FF" w:rsidP="00B100FF">
      <w:pPr>
        <w:pStyle w:val="SingleTxtG"/>
      </w:pPr>
      <w:r>
        <w:t>18.</w:t>
      </w:r>
      <w:r>
        <w:tab/>
        <w:t>Комитет по ликвидации дискриминации в отношении женщин рекомендовал государству разработать государственную политику по осуществлению Закона о борьбе с коррупцией, укрепить институциональный потенциал для эффективного выявления и расследования заявлений о коррупции в государственном секторе, привлекать виновных к ответственности и обеспечить транспарентность системы управления государственными финансами</w:t>
      </w:r>
      <w:r w:rsidRPr="008A4607">
        <w:rPr>
          <w:rStyle w:val="ab"/>
        </w:rPr>
        <w:endnoteReference w:id="22"/>
      </w:r>
      <w:r>
        <w:t>.</w:t>
      </w:r>
    </w:p>
    <w:p w14:paraId="356752B6" w14:textId="77777777" w:rsidR="00B100FF" w:rsidRPr="00A55A70" w:rsidRDefault="00B100FF" w:rsidP="00B100FF">
      <w:pPr>
        <w:pStyle w:val="SingleTxtG"/>
      </w:pPr>
      <w:r>
        <w:t>19.</w:t>
      </w:r>
      <w:r>
        <w:tab/>
        <w:t>Этот же Комитет выразил обеспокоенность в связи с негативным воздействием деятельности иностранных компаний, занимающихся добычей золота и добычей нефти, а также агропромышленных компаний на права сельских женщин, женщин-маронов и женщин из числа коренных народов</w:t>
      </w:r>
      <w:r w:rsidRPr="008A4607">
        <w:rPr>
          <w:rStyle w:val="ab"/>
        </w:rPr>
        <w:endnoteReference w:id="23"/>
      </w:r>
      <w:r>
        <w:t>.</w:t>
      </w:r>
    </w:p>
    <w:p w14:paraId="57DCE443" w14:textId="22210243" w:rsidR="00B100FF" w:rsidRPr="00A55A70" w:rsidRDefault="00B100FF" w:rsidP="00B100FF">
      <w:pPr>
        <w:pStyle w:val="SingleTxtG"/>
      </w:pPr>
      <w:r>
        <w:t>20.</w:t>
      </w:r>
      <w:r>
        <w:tab/>
        <w:t>Страновая группа рекомендовала правительству продолжить работу по борьбе с загрязнением земли и воды промышленными отходами, а также принять дополнительные подзаконные акты, нацеленные на осуществление Рамочного закона об охране окружающей среды (№ 97 от 2020 года)</w:t>
      </w:r>
      <w:r w:rsidRPr="008A4607">
        <w:rPr>
          <w:rStyle w:val="ab"/>
        </w:rPr>
        <w:endnoteReference w:id="24"/>
      </w:r>
      <w:r>
        <w:t>.</w:t>
      </w:r>
    </w:p>
    <w:p w14:paraId="502DB781" w14:textId="77777777" w:rsidR="00B100FF" w:rsidRPr="00A55A70" w:rsidRDefault="00B100FF" w:rsidP="00B100FF">
      <w:pPr>
        <w:pStyle w:val="SingleTxtG"/>
      </w:pPr>
      <w:r>
        <w:t>21.</w:t>
      </w:r>
      <w:r>
        <w:tab/>
        <w:t>Комитет по правам ребенка рекомендовал государству обеспечить защиту индейских и маронских общин от незаконной и неконтролируемой вырубки лесов и добычи полезных ископаемых, оказывающих негативное экологическое воздействие на эти общины, путем принятия и применения законодательства об устойчивом управлении земельными ресурсами в консультации с местными общинами, а также поощрять корпоративную социальную ответственность</w:t>
      </w:r>
      <w:r w:rsidRPr="008A4607">
        <w:rPr>
          <w:rStyle w:val="ab"/>
        </w:rPr>
        <w:endnoteReference w:id="25"/>
      </w:r>
      <w:r>
        <w:t>.</w:t>
      </w:r>
    </w:p>
    <w:p w14:paraId="04E5AF8D" w14:textId="67607963" w:rsidR="00B100FF" w:rsidRPr="00A55A70" w:rsidRDefault="00B100FF" w:rsidP="00B100FF">
      <w:pPr>
        <w:pStyle w:val="H1G"/>
      </w:pPr>
      <w:r>
        <w:lastRenderedPageBreak/>
        <w:tab/>
        <w:t>B.</w:t>
      </w:r>
      <w:r>
        <w:tab/>
      </w:r>
      <w:r>
        <w:rPr>
          <w:bCs/>
        </w:rPr>
        <w:t>Гражданские и политические права</w:t>
      </w:r>
    </w:p>
    <w:p w14:paraId="7A8C65F9" w14:textId="7B1DBBE1" w:rsidR="00B100FF" w:rsidRPr="00B100FF" w:rsidRDefault="00B100FF" w:rsidP="00B100FF">
      <w:pPr>
        <w:pStyle w:val="H23G"/>
        <w:rPr>
          <w:b w:val="0"/>
          <w:bCs/>
        </w:rPr>
      </w:pPr>
      <w:r>
        <w:tab/>
        <w:t>1.</w:t>
      </w:r>
      <w:r>
        <w:tab/>
      </w:r>
      <w:r>
        <w:rPr>
          <w:bCs/>
        </w:rPr>
        <w:t>Право на жизнь, свободу и личную неприкосновенность</w:t>
      </w:r>
      <w:r w:rsidRPr="00B100FF">
        <w:rPr>
          <w:rStyle w:val="ab"/>
          <w:b w:val="0"/>
          <w:bCs/>
        </w:rPr>
        <w:endnoteReference w:id="26"/>
      </w:r>
    </w:p>
    <w:p w14:paraId="7730F2AC" w14:textId="7658BF83" w:rsidR="00B100FF" w:rsidRPr="00A55A70" w:rsidRDefault="00B100FF" w:rsidP="00B100FF">
      <w:pPr>
        <w:pStyle w:val="SingleTxtG"/>
      </w:pPr>
      <w:r>
        <w:t>22.</w:t>
      </w:r>
      <w:r>
        <w:tab/>
        <w:t xml:space="preserve">Страновая группа Организации Объединенных Наций заявила, что условия содержания в тюрьмах в целом соответствуют международным стандартам, но в тюрьмах по-прежнему не хватает персонала и наблюдается высокое соотношение заключенных к числу надзирателей. Проблема переполненности камер временного содержания при полицейских участках, находящихся в ведении полиции, </w:t>
      </w:r>
      <w:r w:rsidR="00360755">
        <w:br/>
      </w:r>
      <w:r>
        <w:t>по-прежнему остается нерешенной. В старых камерах отсутствуют надлежащее освещение и вентиляция, а системы санитарии функционируют в ограниченном режиме</w:t>
      </w:r>
      <w:r w:rsidRPr="008A4607">
        <w:rPr>
          <w:rStyle w:val="ab"/>
        </w:rPr>
        <w:endnoteReference w:id="27"/>
      </w:r>
      <w:r>
        <w:t>.</w:t>
      </w:r>
    </w:p>
    <w:p w14:paraId="2BDA9C02" w14:textId="77777777" w:rsidR="00B100FF" w:rsidRPr="00A55A70" w:rsidRDefault="00B100FF" w:rsidP="00B100FF">
      <w:pPr>
        <w:pStyle w:val="SingleTxtG"/>
      </w:pPr>
      <w:r>
        <w:t>23.</w:t>
      </w:r>
      <w:r>
        <w:tab/>
        <w:t>Страновая группа рекомендовала правительству принять меры для обеспечения того, чтобы условия содержания под стражей обеспечивали уважение достоинства заключенных, особенно с учетом пересмотренных Минимальных стандартных правил Организации Объединенных Наций в отношении обращения с заключенными (Правила Нельсона Манделы)</w:t>
      </w:r>
      <w:r w:rsidRPr="008A4607">
        <w:rPr>
          <w:rStyle w:val="ab"/>
        </w:rPr>
        <w:endnoteReference w:id="28"/>
      </w:r>
      <w:r>
        <w:t>.</w:t>
      </w:r>
    </w:p>
    <w:p w14:paraId="7C9FC560" w14:textId="77777777" w:rsidR="00B100FF" w:rsidRPr="00A55A70" w:rsidRDefault="00B100FF" w:rsidP="00B100FF">
      <w:pPr>
        <w:pStyle w:val="SingleTxtG"/>
      </w:pPr>
      <w:r>
        <w:t>24.</w:t>
      </w:r>
      <w:r>
        <w:tab/>
        <w:t>Страновая группа рекомендовала правительству обеспечить, чтобы несовершеннолетние заключенные содержались в отдельных от взрослых учреждениях, а также предусмотреть наличие учитывающих интересы детей процедур для работы с детьми-правонарушителями</w:t>
      </w:r>
      <w:r w:rsidRPr="008A4607">
        <w:rPr>
          <w:rStyle w:val="ab"/>
        </w:rPr>
        <w:endnoteReference w:id="29"/>
      </w:r>
      <w:r>
        <w:t>.</w:t>
      </w:r>
    </w:p>
    <w:p w14:paraId="1863ED1D" w14:textId="77777777" w:rsidR="00B100FF" w:rsidRPr="00A55A70" w:rsidRDefault="00B100FF" w:rsidP="00B100FF">
      <w:pPr>
        <w:pStyle w:val="SingleTxtG"/>
      </w:pPr>
      <w:r>
        <w:t>25.</w:t>
      </w:r>
      <w:r>
        <w:tab/>
        <w:t>Комитет по правам ребенка рекомендовал государству обеспечить, чтобы дети не содержались вместе со взрослыми, чтобы мальчики и девочки содержались отдельно, чтобы дети никогда не содержались в одиночных камерах и чтобы условия такого содержания отвечали международным нормам, в том числе с точки зрения доступа к образованию и медицинскому обслуживанию, уделяя особое внимание тюрьме Санта-Бома</w:t>
      </w:r>
      <w:r w:rsidRPr="008A4607">
        <w:rPr>
          <w:rStyle w:val="ab"/>
        </w:rPr>
        <w:endnoteReference w:id="30"/>
      </w:r>
      <w:r>
        <w:t>.</w:t>
      </w:r>
    </w:p>
    <w:p w14:paraId="4C8C211D" w14:textId="77777777" w:rsidR="00B100FF" w:rsidRPr="00A55A70" w:rsidRDefault="00B100FF" w:rsidP="00B100FF">
      <w:pPr>
        <w:pStyle w:val="SingleTxtG"/>
      </w:pPr>
      <w:r>
        <w:t>26.</w:t>
      </w:r>
      <w:r>
        <w:tab/>
        <w:t>Этот же Комитет повторил свою предыдущую рекомендацию государству внести поправки в свое законодательство с целью прямого запрета телесных наказаний при любых обстоятельствах, в том числе в семье, учреждениях дневного ухода за детьми и внешкольных учреждениях, школах, учреждениях альтернативного ухода, учреждениях интернатного типа и пенитенциарных учреждениях</w:t>
      </w:r>
      <w:r w:rsidRPr="008A4607">
        <w:rPr>
          <w:rStyle w:val="ab"/>
        </w:rPr>
        <w:endnoteReference w:id="31"/>
      </w:r>
      <w:r>
        <w:t>.</w:t>
      </w:r>
    </w:p>
    <w:p w14:paraId="36DF3C7D" w14:textId="45B7FFFF" w:rsidR="00B100FF" w:rsidRPr="00A55A70" w:rsidRDefault="00B100FF" w:rsidP="00B100FF">
      <w:pPr>
        <w:pStyle w:val="H23G"/>
      </w:pPr>
      <w:r>
        <w:tab/>
        <w:t>2.</w:t>
      </w:r>
      <w:r>
        <w:tab/>
      </w:r>
      <w:r>
        <w:rPr>
          <w:bCs/>
        </w:rPr>
        <w:t>Отправление правосудия, включая проблему безнаказанности, и верховенство права</w:t>
      </w:r>
      <w:r w:rsidRPr="00B100FF">
        <w:rPr>
          <w:rStyle w:val="ab"/>
          <w:b w:val="0"/>
          <w:bCs/>
        </w:rPr>
        <w:endnoteReference w:id="32"/>
      </w:r>
    </w:p>
    <w:p w14:paraId="2D2050EB" w14:textId="77777777" w:rsidR="00B100FF" w:rsidRPr="00A55A70" w:rsidRDefault="00B100FF" w:rsidP="00B100FF">
      <w:pPr>
        <w:pStyle w:val="SingleTxtG"/>
      </w:pPr>
      <w:r>
        <w:t>27.</w:t>
      </w:r>
      <w:r>
        <w:tab/>
        <w:t>Страновая группа Организации Объединенных Наций заявила о нехватке судей для рассмотрения как уголовных, так и гражданских дел. Организации сектора юстиции не располагают достаточной независимостью в вопросах бюджета, в то время как бюджеты судов, прокуратуры, полиции и тюрем находятся в ведении Министерства юстиции</w:t>
      </w:r>
      <w:r w:rsidRPr="008A4607">
        <w:rPr>
          <w:rStyle w:val="ab"/>
          <w:rFonts w:cstheme="minorHAnsi"/>
        </w:rPr>
        <w:endnoteReference w:id="33"/>
      </w:r>
      <w:r>
        <w:t>.</w:t>
      </w:r>
    </w:p>
    <w:p w14:paraId="4BCD021D" w14:textId="77777777" w:rsidR="00B100FF" w:rsidRPr="00A55A70" w:rsidRDefault="00B100FF" w:rsidP="00B100FF">
      <w:pPr>
        <w:pStyle w:val="SingleTxtG"/>
      </w:pPr>
      <w:r>
        <w:t>28.</w:t>
      </w:r>
      <w:r>
        <w:tab/>
        <w:t>Страновая группа рекомендовала правительству разрабатывать и осуществлять образовательные программы в области прав человека, предназначенные для сотрудников правоохранительных органов</w:t>
      </w:r>
      <w:r w:rsidRPr="008A4607">
        <w:rPr>
          <w:rStyle w:val="ab"/>
        </w:rPr>
        <w:endnoteReference w:id="34"/>
      </w:r>
      <w:r>
        <w:t>.</w:t>
      </w:r>
    </w:p>
    <w:p w14:paraId="12D6FBF6" w14:textId="4BB3BF2B" w:rsidR="00B100FF" w:rsidRPr="005C6181" w:rsidRDefault="00B100FF" w:rsidP="00B100FF">
      <w:pPr>
        <w:pStyle w:val="SingleTxtG"/>
      </w:pPr>
      <w:r>
        <w:t>29.</w:t>
      </w:r>
      <w:r>
        <w:tab/>
        <w:t>Комитет по правам ребенка рекомендовал государству обеспечить, чтобы всем детям в возрасте до 18 лет была предоставлена защита в рамках системы правосудия в отношении несовершеннолетних, и поощрять восстановительное правосудие и меры, альтернативные содержанию под стражей, принимая во внимание дифференцированные по признаку гендерной принадлежности программы для мальчиков и девочек, находящихся в конфликте с законом, такие как использование несудебных средств, условное освобождение, посредничество, консультирование или общественные работы. Он также рекомендовал государству обеспечить, чтобы содержание под стражей применялось в качестве крайней меры и в течение как можно более короткого срока и чтобы вопрос о применении этой меры регулярно пересматривался на предмет ее отмены</w:t>
      </w:r>
      <w:r w:rsidRPr="008A4607">
        <w:rPr>
          <w:rStyle w:val="ab"/>
        </w:rPr>
        <w:endnoteReference w:id="35"/>
      </w:r>
      <w:r>
        <w:t>.</w:t>
      </w:r>
      <w:r w:rsidR="005C6181" w:rsidRPr="005C6181">
        <w:t xml:space="preserve"> </w:t>
      </w:r>
    </w:p>
    <w:p w14:paraId="5C8CD5A5" w14:textId="49B9C144" w:rsidR="00B100FF" w:rsidRPr="00A55A70" w:rsidRDefault="00B100FF" w:rsidP="00B100FF">
      <w:pPr>
        <w:pStyle w:val="H23G"/>
      </w:pPr>
      <w:r>
        <w:lastRenderedPageBreak/>
        <w:tab/>
        <w:t>3.</w:t>
      </w:r>
      <w:r>
        <w:tab/>
      </w:r>
      <w:r>
        <w:rPr>
          <w:bCs/>
        </w:rPr>
        <w:t>Основные свободы</w:t>
      </w:r>
      <w:r w:rsidRPr="00B100FF">
        <w:rPr>
          <w:rStyle w:val="ab"/>
          <w:b w:val="0"/>
          <w:bCs/>
        </w:rPr>
        <w:endnoteReference w:id="36"/>
      </w:r>
    </w:p>
    <w:p w14:paraId="21ED0D82" w14:textId="77777777" w:rsidR="00B100FF" w:rsidRPr="00A55A70" w:rsidRDefault="00B100FF" w:rsidP="00B100FF">
      <w:pPr>
        <w:pStyle w:val="SingleTxtG"/>
      </w:pPr>
      <w:r>
        <w:t>30.</w:t>
      </w:r>
      <w:r>
        <w:tab/>
        <w:t>ЮНЕСКО заявила, что диффамация рассматривается в качестве уголовного преступления и может повлечь за собой наказание в виде штрафов или тюремного заключения сроком до трех лет. Она рекомендовала правительству отменить уголовную ответственность за диффамацию и включить положения о диффамации в гражданский кодекс в соответствии с международными стандартами</w:t>
      </w:r>
      <w:r w:rsidRPr="008A4607">
        <w:rPr>
          <w:rStyle w:val="ab"/>
        </w:rPr>
        <w:endnoteReference w:id="37"/>
      </w:r>
      <w:r>
        <w:t>.</w:t>
      </w:r>
    </w:p>
    <w:p w14:paraId="1E2C03A7" w14:textId="77777777" w:rsidR="00B100FF" w:rsidRPr="00A55A70" w:rsidRDefault="00B100FF" w:rsidP="00B100FF">
      <w:pPr>
        <w:pStyle w:val="SingleTxtG"/>
      </w:pPr>
      <w:r>
        <w:t>31.</w:t>
      </w:r>
      <w:r>
        <w:tab/>
        <w:t>ЮНЕСКО заявила, что в Суринаме отсутствует законодательство о свободе информации, и призвала правительство ввести закон о свободе информации, который соответствовал бы международным стандартам</w:t>
      </w:r>
      <w:r w:rsidRPr="008A4607">
        <w:rPr>
          <w:rStyle w:val="ab"/>
        </w:rPr>
        <w:endnoteReference w:id="38"/>
      </w:r>
      <w:r>
        <w:t>.</w:t>
      </w:r>
    </w:p>
    <w:p w14:paraId="1994E5D4" w14:textId="77777777" w:rsidR="00B100FF" w:rsidRPr="00A55A70" w:rsidRDefault="00B100FF" w:rsidP="00B100FF">
      <w:pPr>
        <w:pStyle w:val="SingleTxtG"/>
      </w:pPr>
      <w:r>
        <w:t>32.</w:t>
      </w:r>
      <w:r>
        <w:tab/>
        <w:t>ЮНЕСКО заявила, что правительство должно создать экосистему СМИ, которая бы способствовала применению основанных на саморегулировании подходов и укреплению независимости СМИ, в том числе с помощью независимого органа регулирования средств массовой информации, в соответствии с международными стандартами</w:t>
      </w:r>
      <w:r w:rsidRPr="008A4607">
        <w:rPr>
          <w:rStyle w:val="ab"/>
        </w:rPr>
        <w:endnoteReference w:id="39"/>
      </w:r>
      <w:r>
        <w:t>.</w:t>
      </w:r>
    </w:p>
    <w:p w14:paraId="0041A66C" w14:textId="77777777" w:rsidR="00B100FF" w:rsidRPr="00A55A70" w:rsidRDefault="00B100FF" w:rsidP="00B100FF">
      <w:pPr>
        <w:pStyle w:val="SingleTxtG"/>
      </w:pPr>
      <w:r>
        <w:t>33.</w:t>
      </w:r>
      <w:r>
        <w:tab/>
        <w:t>Комитет экспертов МОТ по применению конвенций и рекомендаций призвал правительство обеспечить как в законодательном порядке, так и на практике неприменение наказаний в виде принудительного труда за выражение политических и идеологических взглядов</w:t>
      </w:r>
      <w:r w:rsidRPr="008A4607">
        <w:rPr>
          <w:rStyle w:val="ab"/>
        </w:rPr>
        <w:endnoteReference w:id="40"/>
      </w:r>
      <w:r>
        <w:t>.</w:t>
      </w:r>
    </w:p>
    <w:p w14:paraId="719A3DBF" w14:textId="1B99A662" w:rsidR="00B100FF" w:rsidRPr="00B100FF" w:rsidRDefault="00B100FF" w:rsidP="00B100FF">
      <w:pPr>
        <w:pStyle w:val="H23G"/>
        <w:rPr>
          <w:b w:val="0"/>
          <w:bCs/>
        </w:rPr>
      </w:pPr>
      <w:r>
        <w:tab/>
        <w:t>4.</w:t>
      </w:r>
      <w:r>
        <w:tab/>
      </w:r>
      <w:r>
        <w:rPr>
          <w:bCs/>
        </w:rPr>
        <w:t>Запрещение всех форм рабства</w:t>
      </w:r>
      <w:r w:rsidRPr="00B100FF">
        <w:rPr>
          <w:rStyle w:val="ab"/>
          <w:b w:val="0"/>
          <w:bCs/>
        </w:rPr>
        <w:endnoteReference w:id="41"/>
      </w:r>
    </w:p>
    <w:p w14:paraId="453FB14A" w14:textId="77777777" w:rsidR="00B100FF" w:rsidRPr="00A55A70" w:rsidRDefault="00B100FF" w:rsidP="00B100FF">
      <w:pPr>
        <w:pStyle w:val="SingleTxtG"/>
      </w:pPr>
      <w:r>
        <w:t>34.</w:t>
      </w:r>
      <w:r>
        <w:tab/>
        <w:t>Комитет по правам ребенка выразил серьезную обеспокоенность тем, что государство является страной происхождения, транзита и назначения для детей, ставших жертвами торговли сексуальными услугами, в частности девочек из индейских и маронских общин в регионах, где ведется добыча полезных ископаемых и освоение лесных ресурсов. Он также выразил серьезную обеспокоенность сообщениями о том, что детей принуждают оказывать коммерческие сексуальные услуги, включая секс-туризм, а также принуждают к проституции и обязательному труду в государстве</w:t>
      </w:r>
      <w:r w:rsidRPr="008A4607">
        <w:rPr>
          <w:rStyle w:val="ab"/>
        </w:rPr>
        <w:endnoteReference w:id="42"/>
      </w:r>
      <w:r>
        <w:t>.</w:t>
      </w:r>
    </w:p>
    <w:p w14:paraId="37813122" w14:textId="77777777" w:rsidR="00B100FF" w:rsidRPr="00A55A70" w:rsidRDefault="00B100FF" w:rsidP="00B100FF">
      <w:pPr>
        <w:pStyle w:val="SingleTxtG"/>
      </w:pPr>
      <w:r>
        <w:t>35.</w:t>
      </w:r>
      <w:r>
        <w:tab/>
        <w:t>Страновая группа Организации Объединенных Наций заявила об увеличении за последние годы числа зарегистрированных случаев торговли людьми в отдаленных районах джунглей государства, а также о том, что ограниченное присутствие государственных структур в отдаленных районах осложняет проведение количественной оценки всех масштабов операций. Торговля людьми, в частности женщинами и детьми, по-прежнему вызывает обеспокоенность, поскольку в регионе не был в достаточной мере разработан скоординированный подход к предотвращению торговли людьми и защите ее жертв</w:t>
      </w:r>
      <w:r w:rsidRPr="008A4607">
        <w:rPr>
          <w:rStyle w:val="ab"/>
        </w:rPr>
        <w:endnoteReference w:id="43"/>
      </w:r>
      <w:r>
        <w:t>.</w:t>
      </w:r>
    </w:p>
    <w:p w14:paraId="7246C99A" w14:textId="77777777" w:rsidR="00B100FF" w:rsidRPr="00A55A70" w:rsidRDefault="00B100FF" w:rsidP="00B100FF">
      <w:pPr>
        <w:pStyle w:val="SingleTxtG"/>
      </w:pPr>
      <w:r>
        <w:t>36.</w:t>
      </w:r>
      <w:r>
        <w:tab/>
        <w:t>Страновая группа заявила, что в стране нет приюта, предназначенного для жертв торговли людьми. Приют для жертв домашнего насилия был открыт для приема женщин и детей, ставших жертвами торговли людьми, однако не был доступен жертвам мужского пола</w:t>
      </w:r>
      <w:r w:rsidRPr="008A4607">
        <w:rPr>
          <w:rStyle w:val="ab"/>
          <w:shd w:val="clear" w:color="auto" w:fill="FFFFFF"/>
        </w:rPr>
        <w:endnoteReference w:id="44"/>
      </w:r>
      <w:r>
        <w:t>.</w:t>
      </w:r>
    </w:p>
    <w:p w14:paraId="20B11A80" w14:textId="77777777" w:rsidR="00B100FF" w:rsidRPr="00A55A70" w:rsidRDefault="00B100FF" w:rsidP="00B100FF">
      <w:pPr>
        <w:pStyle w:val="SingleTxtG"/>
      </w:pPr>
      <w:r>
        <w:t>37.</w:t>
      </w:r>
      <w:r>
        <w:tab/>
        <w:t>Комитет по ликвидации дискриминации в отношении женщин рекомендовал государству создать достаточное число должным образом оснащенных приютов для жертв торговли людьми в различных частях государства</w:t>
      </w:r>
      <w:r w:rsidRPr="008A4607">
        <w:rPr>
          <w:rStyle w:val="ab"/>
        </w:rPr>
        <w:endnoteReference w:id="45"/>
      </w:r>
      <w:r>
        <w:t>.</w:t>
      </w:r>
    </w:p>
    <w:p w14:paraId="45525639" w14:textId="77777777" w:rsidR="00B100FF" w:rsidRPr="00A55A70" w:rsidRDefault="00B100FF" w:rsidP="00B100FF">
      <w:pPr>
        <w:pStyle w:val="SingleTxtG"/>
      </w:pPr>
      <w:r>
        <w:t>38.</w:t>
      </w:r>
      <w:r>
        <w:tab/>
        <w:t>Этот же Комитет рекомендовал государству проводить расследования, преследовать в уголовном порядке и надлежащим образом наказывать правонарушителей и обеспечивать, чтобы жертвы торговли людьми и проституции освобождались от уголовной ответственности, а также получали надлежащую защиту, средства правовой защиты и возмещение, включая разрешения на временное проживание, медицинскую помощь, психосоциальное консультирование, реабилитационную и реинтеграционную поддержку и компенсацию</w:t>
      </w:r>
      <w:r w:rsidRPr="008A4607">
        <w:rPr>
          <w:rStyle w:val="ab"/>
        </w:rPr>
        <w:endnoteReference w:id="46"/>
      </w:r>
      <w:r>
        <w:t>.</w:t>
      </w:r>
    </w:p>
    <w:p w14:paraId="02C2AB9E" w14:textId="77777777" w:rsidR="00B100FF" w:rsidRPr="00A55A70" w:rsidRDefault="00B100FF" w:rsidP="00B100FF">
      <w:pPr>
        <w:pStyle w:val="SingleTxtG"/>
      </w:pPr>
      <w:r>
        <w:t>39.</w:t>
      </w:r>
      <w:r>
        <w:tab/>
        <w:t>Комитет экспертов МОТ просил правительство активизировать усилия по обеспечению наличия соответствующих услуг для детей, ставших жертвами торговли людьми, в том числе для их реабилитации и социальной интеграции</w:t>
      </w:r>
      <w:r w:rsidRPr="008A4607">
        <w:rPr>
          <w:rStyle w:val="ab"/>
        </w:rPr>
        <w:endnoteReference w:id="47"/>
      </w:r>
      <w:r>
        <w:t>.</w:t>
      </w:r>
    </w:p>
    <w:p w14:paraId="013E76E3" w14:textId="77777777" w:rsidR="00B100FF" w:rsidRPr="00A55A70" w:rsidRDefault="00B100FF" w:rsidP="00B100FF">
      <w:pPr>
        <w:pStyle w:val="SingleTxtG"/>
      </w:pPr>
      <w:r>
        <w:lastRenderedPageBreak/>
        <w:t>40.</w:t>
      </w:r>
      <w:r>
        <w:tab/>
        <w:t>УВКБ рекомендовало правительству улучшить подготовку сотрудников правоохранительных, иммиграционных и судебных органов для более эффективного выявления и защиты жертв торговли людьми, а также лиц, нуждающихся в международной защите, которые также могут являться жертвами торговли людьми</w:t>
      </w:r>
      <w:r w:rsidRPr="008A4607">
        <w:rPr>
          <w:rStyle w:val="ab"/>
        </w:rPr>
        <w:endnoteReference w:id="48"/>
      </w:r>
      <w:r>
        <w:t>.</w:t>
      </w:r>
    </w:p>
    <w:p w14:paraId="54639591" w14:textId="3DB57FC2" w:rsidR="00B100FF" w:rsidRPr="00A55A70" w:rsidRDefault="00B100FF" w:rsidP="00B100FF">
      <w:pPr>
        <w:pStyle w:val="H1G"/>
      </w:pPr>
      <w:r>
        <w:tab/>
        <w:t>C.</w:t>
      </w:r>
      <w:r>
        <w:tab/>
      </w:r>
      <w:r>
        <w:rPr>
          <w:bCs/>
        </w:rPr>
        <w:t>Экономические, социальные и культурные права</w:t>
      </w:r>
    </w:p>
    <w:p w14:paraId="0B6DC7DF" w14:textId="77777777" w:rsidR="00B100FF" w:rsidRPr="00B100FF" w:rsidRDefault="00B100FF" w:rsidP="00B100FF">
      <w:pPr>
        <w:pStyle w:val="H23G"/>
        <w:rPr>
          <w:b w:val="0"/>
          <w:bCs/>
        </w:rPr>
      </w:pPr>
      <w:r>
        <w:tab/>
        <w:t>1.</w:t>
      </w:r>
      <w:r>
        <w:tab/>
      </w:r>
      <w:r>
        <w:rPr>
          <w:bCs/>
        </w:rPr>
        <w:t>Право на труд и на справедливые и благоприятные условия труда</w:t>
      </w:r>
      <w:r w:rsidRPr="00B100FF">
        <w:rPr>
          <w:rStyle w:val="ab"/>
          <w:b w:val="0"/>
          <w:bCs/>
        </w:rPr>
        <w:endnoteReference w:id="49"/>
      </w:r>
    </w:p>
    <w:p w14:paraId="0D996179" w14:textId="7090C1DC" w:rsidR="00B100FF" w:rsidRPr="00A55A70" w:rsidRDefault="00B100FF" w:rsidP="00B100FF">
      <w:pPr>
        <w:pStyle w:val="SingleTxtG"/>
      </w:pPr>
      <w:r>
        <w:t>41.</w:t>
      </w:r>
      <w:r>
        <w:tab/>
        <w:t xml:space="preserve">Комитет экспертов МОТ отметил, что, согласно имеющейся статистике Всемирного банка, уровень безработицы среди молодежи остается высоким: </w:t>
      </w:r>
      <w:r>
        <w:br/>
        <w:t>15,69 процента в 2016 году и 15,86 процента в 2017 году</w:t>
      </w:r>
      <w:r w:rsidRPr="008A4607">
        <w:rPr>
          <w:rStyle w:val="ab"/>
        </w:rPr>
        <w:endnoteReference w:id="50"/>
      </w:r>
      <w:r>
        <w:t>.</w:t>
      </w:r>
    </w:p>
    <w:p w14:paraId="503D1FEB" w14:textId="77777777" w:rsidR="00B100FF" w:rsidRPr="00A55A70" w:rsidRDefault="00B100FF" w:rsidP="00B100FF">
      <w:pPr>
        <w:pStyle w:val="SingleTxtG"/>
      </w:pPr>
      <w:r>
        <w:t>42.</w:t>
      </w:r>
      <w:r>
        <w:tab/>
        <w:t>Страновая группа Организации Объединенных Наций заявила, что уровень безработицы среди молодежи и женщин непропорционально выше. Сбор имеющихся данных осуществлялся не на национальном уровне, а только по округам Парамарибо и Ваника. В этой связи оценить степень уязвимости и воздействия во всех 10 округах не представляется возможным. Местные власти не предприняли никаких конкретных действий для расширения прав и возможностей женщин, чтобы они могли конкурировать на рынке труда наравне с мужчинами</w:t>
      </w:r>
      <w:r w:rsidRPr="008A4607">
        <w:rPr>
          <w:rStyle w:val="ab"/>
          <w:rFonts w:cstheme="minorHAnsi"/>
        </w:rPr>
        <w:endnoteReference w:id="51"/>
      </w:r>
      <w:r>
        <w:t>.</w:t>
      </w:r>
    </w:p>
    <w:p w14:paraId="53FE66B7" w14:textId="77777777" w:rsidR="00B100FF" w:rsidRPr="00A55A70" w:rsidRDefault="00B100FF" w:rsidP="00B100FF">
      <w:pPr>
        <w:pStyle w:val="SingleTxtG"/>
      </w:pPr>
      <w:r>
        <w:t>43.</w:t>
      </w:r>
      <w:r>
        <w:tab/>
        <w:t>Комитет по ликвидации дискриминации в отношении женщин с обеспокоенностью отметил наличие неравного для женщин доступа к экономическим возможностям и непропорционально высокий уровень безработицы среди женщин, особенно среди сельских женщин, женщин-маронов и женщин из числа коренных народов</w:t>
      </w:r>
      <w:r w:rsidRPr="008A4607">
        <w:rPr>
          <w:rStyle w:val="ab"/>
        </w:rPr>
        <w:endnoteReference w:id="52"/>
      </w:r>
      <w:r>
        <w:t>.</w:t>
      </w:r>
    </w:p>
    <w:p w14:paraId="61B76D58" w14:textId="77777777" w:rsidR="00B100FF" w:rsidRPr="00A55A70" w:rsidRDefault="00B100FF" w:rsidP="00B100FF">
      <w:pPr>
        <w:pStyle w:val="SingleTxtG"/>
      </w:pPr>
      <w:r>
        <w:t>44.</w:t>
      </w:r>
      <w:r>
        <w:tab/>
        <w:t>Этот же Комитет с обеспокоенностью отметил сохраняющуюся профессиональную сегрегацию на рынке труда, концентрацию женщин на низкооплачиваемой работе в неформальном секторе и недостаточную представленность женщин на управленческих должностях и в нетрадиционных профессиях</w:t>
      </w:r>
      <w:r w:rsidRPr="008A4607">
        <w:rPr>
          <w:rStyle w:val="ab"/>
        </w:rPr>
        <w:endnoteReference w:id="53"/>
      </w:r>
      <w:r>
        <w:t>.</w:t>
      </w:r>
    </w:p>
    <w:p w14:paraId="54EAB444" w14:textId="77777777" w:rsidR="00B100FF" w:rsidRPr="00A55A70" w:rsidRDefault="00B100FF" w:rsidP="00B100FF">
      <w:pPr>
        <w:pStyle w:val="SingleTxtG"/>
      </w:pPr>
      <w:r>
        <w:t>45.</w:t>
      </w:r>
      <w:r>
        <w:tab/>
        <w:t>Комитет по правам ребенка настоятельно призвал государство укрепить трудовую инспекцию и механизмы мониторинга в формальном и неформальном секторах, а также обнародовать данные о количестве проведенных инспекций и зарегистрированных нарушений</w:t>
      </w:r>
      <w:r w:rsidRPr="008A4607">
        <w:rPr>
          <w:rStyle w:val="ab"/>
        </w:rPr>
        <w:endnoteReference w:id="54"/>
      </w:r>
      <w:r>
        <w:t>.</w:t>
      </w:r>
    </w:p>
    <w:p w14:paraId="4B1272BD" w14:textId="77777777" w:rsidR="00B100FF" w:rsidRPr="00A55A70" w:rsidRDefault="00B100FF" w:rsidP="00B100FF">
      <w:pPr>
        <w:pStyle w:val="SingleTxtG"/>
      </w:pPr>
      <w:r>
        <w:t>46.</w:t>
      </w:r>
      <w:r>
        <w:tab/>
        <w:t>Комитет экспертов МОТ просил правительство принять необходимые меры для обеспечения того, чтобы при отсутствии профсоюза, представляющего большинство работников, права на ведение коллективных переговоров предоставлялись существующим профсоюзам, совместно или раздельно, по крайней мере, от имени их собственных членов</w:t>
      </w:r>
      <w:r w:rsidRPr="008A4607">
        <w:rPr>
          <w:rStyle w:val="ab"/>
        </w:rPr>
        <w:endnoteReference w:id="55"/>
      </w:r>
      <w:r>
        <w:t>.</w:t>
      </w:r>
    </w:p>
    <w:p w14:paraId="1DC894EE" w14:textId="77777777" w:rsidR="00B100FF" w:rsidRPr="00A55A70" w:rsidRDefault="00B100FF" w:rsidP="00B100FF">
      <w:pPr>
        <w:pStyle w:val="SingleTxtG"/>
      </w:pPr>
      <w:r>
        <w:t>47.</w:t>
      </w:r>
      <w:r>
        <w:tab/>
        <w:t>Страновая группа заявила, что в 2019 году Национальной ассамблеей был пересмотрен Закон о минимальной заработной плате и установлен минимальный размер оплаты труда на уровне 8,4 суринамских долларов в час. Вместе с тем члены группы отметили, что закон распространяется только на формальный сектор. Лица, занятые в неформальном секторе, главным образом молодежь и женщины, не пользуются преимуществами этого закона</w:t>
      </w:r>
      <w:r w:rsidRPr="008A4607">
        <w:rPr>
          <w:rStyle w:val="ab"/>
          <w:rFonts w:cstheme="minorHAnsi"/>
        </w:rPr>
        <w:endnoteReference w:id="56"/>
      </w:r>
      <w:r>
        <w:t>.</w:t>
      </w:r>
    </w:p>
    <w:p w14:paraId="330620E4" w14:textId="77777777" w:rsidR="00B100FF" w:rsidRPr="00A55A70" w:rsidRDefault="00B100FF" w:rsidP="00B100FF">
      <w:pPr>
        <w:pStyle w:val="SingleTxtG"/>
      </w:pPr>
      <w:r>
        <w:t>48.</w:t>
      </w:r>
      <w:r>
        <w:tab/>
        <w:t>Комитет по ликвидации дискриминации в отношении женщин призвал государство внести поправку в статью 28 Конституции, с тем чтобы обеспечить включение в нее принципа равного вознаграждения за труд равной ценности, и принять меры для обеспечения эффективного соблюдения этого принципа</w:t>
      </w:r>
      <w:r w:rsidRPr="008A4607">
        <w:rPr>
          <w:rStyle w:val="ab"/>
        </w:rPr>
        <w:endnoteReference w:id="57"/>
      </w:r>
      <w:r>
        <w:t>.</w:t>
      </w:r>
    </w:p>
    <w:p w14:paraId="0D2887AC" w14:textId="77777777" w:rsidR="00B100FF" w:rsidRPr="00A55A70" w:rsidRDefault="00B100FF" w:rsidP="00B100FF">
      <w:pPr>
        <w:pStyle w:val="H23G"/>
      </w:pPr>
      <w:r>
        <w:tab/>
        <w:t>2.</w:t>
      </w:r>
      <w:r>
        <w:tab/>
      </w:r>
      <w:r>
        <w:rPr>
          <w:bCs/>
        </w:rPr>
        <w:t>Право на социальное обеспечение</w:t>
      </w:r>
    </w:p>
    <w:p w14:paraId="66E997D7" w14:textId="77777777" w:rsidR="00B100FF" w:rsidRPr="00A55A70" w:rsidRDefault="00B100FF" w:rsidP="00B100FF">
      <w:pPr>
        <w:pStyle w:val="SingleTxtG"/>
      </w:pPr>
      <w:r>
        <w:t>49.</w:t>
      </w:r>
      <w:r>
        <w:tab/>
        <w:t xml:space="preserve">Комитет по правам ребенка рекомендовал государству содействовать реализации комплексной и последовательной стратегии, гарантирующей детям минимальный уровень доступа к базовым услугам и финансовой безопасности, особенно в отдаленных районах, и установить общенациональный минимальный </w:t>
      </w:r>
      <w:r>
        <w:lastRenderedPageBreak/>
        <w:t>уровень социальной защиты в рамках инициативы Организации Объединенных Наций по обеспечению минимального уровня социальной защиты</w:t>
      </w:r>
      <w:r w:rsidRPr="008A4607">
        <w:rPr>
          <w:rStyle w:val="ab"/>
        </w:rPr>
        <w:endnoteReference w:id="58"/>
      </w:r>
      <w:r>
        <w:t>.</w:t>
      </w:r>
    </w:p>
    <w:p w14:paraId="2A730273" w14:textId="77777777" w:rsidR="00B100FF" w:rsidRPr="00A55A70" w:rsidRDefault="00B100FF" w:rsidP="00B100FF">
      <w:pPr>
        <w:pStyle w:val="SingleTxtG"/>
      </w:pPr>
      <w:r>
        <w:t>50.</w:t>
      </w:r>
      <w:r>
        <w:tab/>
        <w:t>Этот же Комитет также рекомендовал государству усилить поддержку лиц, осуществляющих уход за детьми с инвалидностью, в том числе путем увеличения социальных пособий и количества других услуг</w:t>
      </w:r>
      <w:r w:rsidRPr="008A4607">
        <w:rPr>
          <w:rStyle w:val="ab"/>
        </w:rPr>
        <w:endnoteReference w:id="59"/>
      </w:r>
      <w:r>
        <w:t>.</w:t>
      </w:r>
    </w:p>
    <w:p w14:paraId="1931CC79" w14:textId="77777777" w:rsidR="00B100FF" w:rsidRPr="00B100FF" w:rsidRDefault="00B100FF" w:rsidP="00B100FF">
      <w:pPr>
        <w:pStyle w:val="H23G"/>
        <w:rPr>
          <w:b w:val="0"/>
          <w:bCs/>
        </w:rPr>
      </w:pPr>
      <w:r>
        <w:tab/>
        <w:t>3.</w:t>
      </w:r>
      <w:r>
        <w:tab/>
      </w:r>
      <w:r>
        <w:rPr>
          <w:bCs/>
        </w:rPr>
        <w:t>Право на достаточный жизненный уровень</w:t>
      </w:r>
      <w:r w:rsidRPr="00B100FF">
        <w:rPr>
          <w:rStyle w:val="ab"/>
          <w:b w:val="0"/>
          <w:bCs/>
        </w:rPr>
        <w:endnoteReference w:id="60"/>
      </w:r>
    </w:p>
    <w:p w14:paraId="267DF781" w14:textId="56E9FC58" w:rsidR="00B100FF" w:rsidRPr="00A55A70" w:rsidRDefault="00B100FF" w:rsidP="00B100FF">
      <w:pPr>
        <w:pStyle w:val="SingleTxtG"/>
      </w:pPr>
      <w:r>
        <w:t>51.</w:t>
      </w:r>
      <w:r>
        <w:tab/>
        <w:t>Страновая группа Организации Объединенных Наций заявила, что, согласно данным обследования условий жизни в Суринаме, проведенного Межамериканским банком развития в 2017 году, общий уровень нищеты составляет 26 процентов. Наряду с этим она отмечает, что уровень бедности в отдаленных районах страны гораздо выше</w:t>
      </w:r>
      <w:r w:rsidR="00D82ACA">
        <w:rPr>
          <w:lang w:val="en-US"/>
        </w:rPr>
        <w:t> </w:t>
      </w:r>
      <w:r w:rsidR="00D82ACA" w:rsidRPr="00D82ACA">
        <w:t>—</w:t>
      </w:r>
      <w:r w:rsidR="00D82ACA">
        <w:rPr>
          <w:lang w:val="en-US"/>
        </w:rPr>
        <w:t> </w:t>
      </w:r>
      <w:r>
        <w:t>47,9 процента и почти каждое второе домохозяйство относится к категории бедных</w:t>
      </w:r>
      <w:r w:rsidRPr="008A4607">
        <w:rPr>
          <w:rStyle w:val="ab"/>
          <w:rFonts w:cstheme="minorHAnsi"/>
        </w:rPr>
        <w:endnoteReference w:id="61"/>
      </w:r>
      <w:r>
        <w:t>.</w:t>
      </w:r>
    </w:p>
    <w:p w14:paraId="498CD685" w14:textId="77777777" w:rsidR="00B100FF" w:rsidRPr="00A55A70" w:rsidRDefault="00B100FF" w:rsidP="00B100FF">
      <w:pPr>
        <w:pStyle w:val="SingleTxtG"/>
      </w:pPr>
      <w:r>
        <w:t>52.</w:t>
      </w:r>
      <w:r>
        <w:tab/>
        <w:t>Комитет по ликвидации дискриминации в отношении женщин с обеспокоенностью отметил чрезвычайно высокий уровень бедности среди сельских женщин, женщин-маронов и женщин из числа коренных народов и их крайне ограниченный доступ к базовым услугам, в том числе к медицинским услугам, образованию, чистой воде, надлежащей санитарии, энергоснабжению и коммуникационным технологиям</w:t>
      </w:r>
      <w:r w:rsidRPr="008A4607">
        <w:rPr>
          <w:rStyle w:val="ab"/>
        </w:rPr>
        <w:endnoteReference w:id="62"/>
      </w:r>
      <w:r>
        <w:t>.</w:t>
      </w:r>
    </w:p>
    <w:p w14:paraId="3B0E912C" w14:textId="77777777" w:rsidR="00B100FF" w:rsidRPr="00A55A70" w:rsidRDefault="00B100FF" w:rsidP="00B100FF">
      <w:pPr>
        <w:pStyle w:val="SingleTxtG"/>
      </w:pPr>
      <w:r>
        <w:t>53.</w:t>
      </w:r>
      <w:r>
        <w:tab/>
        <w:t>Страновая группа рекомендовала правительству установить черту бедности для принятия целевых мер</w:t>
      </w:r>
      <w:r w:rsidRPr="008A4607">
        <w:rPr>
          <w:rStyle w:val="ab"/>
          <w:color w:val="000000"/>
          <w:lang w:eastAsia="en-GB"/>
        </w:rPr>
        <w:endnoteReference w:id="63"/>
      </w:r>
      <w:r>
        <w:t>.</w:t>
      </w:r>
    </w:p>
    <w:p w14:paraId="38E40B31" w14:textId="77777777" w:rsidR="00B100FF" w:rsidRPr="00A55A70" w:rsidRDefault="00B100FF" w:rsidP="00B100FF">
      <w:pPr>
        <w:pStyle w:val="SingleTxtG"/>
      </w:pPr>
      <w:r>
        <w:t>54.</w:t>
      </w:r>
      <w:r>
        <w:tab/>
        <w:t>Комитет по правам ребенка рекомендовал государству разработать государственную политику и национальный план по борьбе с детской нищетой</w:t>
      </w:r>
      <w:r w:rsidRPr="008A4607">
        <w:rPr>
          <w:rStyle w:val="ab"/>
        </w:rPr>
        <w:endnoteReference w:id="64"/>
      </w:r>
      <w:r>
        <w:t>.</w:t>
      </w:r>
    </w:p>
    <w:p w14:paraId="1F8E3836" w14:textId="77777777" w:rsidR="00B100FF" w:rsidRPr="00A55A70" w:rsidRDefault="00B100FF" w:rsidP="00B100FF">
      <w:pPr>
        <w:pStyle w:val="SingleTxtG"/>
      </w:pPr>
      <w:r>
        <w:t>55.</w:t>
      </w:r>
      <w:r>
        <w:tab/>
        <w:t>Этот же Комитет также рекомендовал государству обеспечить доступ к улучшенным источникам водоснабжения и средствам санитарии, особенно для населения, проживающего в отдаленных районах, в том числе путем расширения программы в области водоснабжения, санитарии и гигиены в отдаленных районах для индейских и маронских общин в сотрудничестве с Детским фондом Организации Объединенных Наций</w:t>
      </w:r>
      <w:r w:rsidRPr="008A4607">
        <w:rPr>
          <w:rStyle w:val="ab"/>
        </w:rPr>
        <w:endnoteReference w:id="65"/>
      </w:r>
      <w:r>
        <w:t>.</w:t>
      </w:r>
    </w:p>
    <w:p w14:paraId="2E0F2831" w14:textId="77777777" w:rsidR="00B100FF" w:rsidRPr="00A55A70" w:rsidRDefault="00B100FF" w:rsidP="00B100FF">
      <w:pPr>
        <w:pStyle w:val="SingleTxtG"/>
      </w:pPr>
      <w:r>
        <w:t>56.</w:t>
      </w:r>
      <w:r>
        <w:tab/>
        <w:t>Этот же Комитет далее рекомендовал государству принять целенаправленные меры по недопущению неполноценного питания детей</w:t>
      </w:r>
      <w:r w:rsidRPr="008A4607">
        <w:rPr>
          <w:rStyle w:val="ab"/>
        </w:rPr>
        <w:endnoteReference w:id="66"/>
      </w:r>
      <w:r>
        <w:t>.</w:t>
      </w:r>
    </w:p>
    <w:p w14:paraId="16859899" w14:textId="77777777" w:rsidR="00B100FF" w:rsidRPr="00B100FF" w:rsidRDefault="00B100FF" w:rsidP="00B100FF">
      <w:pPr>
        <w:pStyle w:val="H23G"/>
        <w:rPr>
          <w:b w:val="0"/>
          <w:bCs/>
        </w:rPr>
      </w:pPr>
      <w:r>
        <w:tab/>
        <w:t>4.</w:t>
      </w:r>
      <w:r>
        <w:tab/>
      </w:r>
      <w:r>
        <w:rPr>
          <w:bCs/>
        </w:rPr>
        <w:t>Право на здоровье</w:t>
      </w:r>
      <w:r w:rsidRPr="00B100FF">
        <w:rPr>
          <w:rStyle w:val="ab"/>
          <w:b w:val="0"/>
          <w:bCs/>
        </w:rPr>
        <w:endnoteReference w:id="67"/>
      </w:r>
    </w:p>
    <w:p w14:paraId="1E3BF349" w14:textId="6982A803" w:rsidR="00B100FF" w:rsidRPr="00A55A70" w:rsidRDefault="00B100FF" w:rsidP="00B100FF">
      <w:pPr>
        <w:pStyle w:val="SingleTxtG"/>
      </w:pPr>
      <w:r>
        <w:t>57.</w:t>
      </w:r>
      <w:r>
        <w:tab/>
        <w:t xml:space="preserve">Страновая группа Организации Объединенных Наций заявила о сохраняющейся проблеме неравного доступа к основным услугам здравоохранения и их использованию, причиной которой является неравенство, связанное с гендерной принадлежностью, географическим положением и социально-экономическим статусом. Доступ к специализированной помощи для жителей отдаленных районов </w:t>
      </w:r>
      <w:r w:rsidR="00D82ACA">
        <w:br/>
      </w:r>
      <w:r>
        <w:t>по-прежнему ограничен, при этом люди, нуждающиеся в ней, вынуждены ездить в Парамарибо</w:t>
      </w:r>
      <w:r w:rsidRPr="008A4607">
        <w:rPr>
          <w:rStyle w:val="ab"/>
          <w:rFonts w:cstheme="minorHAnsi"/>
        </w:rPr>
        <w:endnoteReference w:id="68"/>
      </w:r>
      <w:r>
        <w:t>.</w:t>
      </w:r>
    </w:p>
    <w:p w14:paraId="7CF0F8DB" w14:textId="77777777" w:rsidR="00B100FF" w:rsidRPr="00A55A70" w:rsidRDefault="00B100FF" w:rsidP="00B100FF">
      <w:pPr>
        <w:pStyle w:val="SingleTxtG"/>
      </w:pPr>
      <w:r>
        <w:t>58.</w:t>
      </w:r>
      <w:r>
        <w:tab/>
        <w:t>Комитет по ликвидации дискриминации в отношении женщин вновь выразил обеспокоенность недостаточным объемом финансирования сектора здравоохранения, что приводит к крайне ограниченному доступу женщин к основным медицинским услугам, особенно сельских женщин, женщин-маронов и женщин из числа коренных народов, которые часто вынуждены ездить в Парамарибо для получения специализированной медицинской помощи</w:t>
      </w:r>
      <w:r w:rsidRPr="008A4607">
        <w:rPr>
          <w:rStyle w:val="ab"/>
        </w:rPr>
        <w:endnoteReference w:id="69"/>
      </w:r>
      <w:r>
        <w:t>.</w:t>
      </w:r>
    </w:p>
    <w:p w14:paraId="4387D262" w14:textId="77777777" w:rsidR="00B100FF" w:rsidRPr="00A55A70" w:rsidRDefault="00B100FF" w:rsidP="00B100FF">
      <w:pPr>
        <w:pStyle w:val="SingleTxtG"/>
      </w:pPr>
      <w:r>
        <w:t>59.</w:t>
      </w:r>
      <w:r>
        <w:tab/>
        <w:t>Тот же Комитет также выразил обеспокоенность отсутствием услуг по лечению сердечно-сосудистых заболеваний и обследований на выявление онкологических заболеваний у женщин за пределами Парамарибо, несмотря на высокие показатели распространенности сердечно-сосудистых заболеваний и рака репродуктивных органов, включая рак молочной железы, рак матки и рак шейки матки</w:t>
      </w:r>
      <w:r w:rsidRPr="008A4607">
        <w:rPr>
          <w:rStyle w:val="ab"/>
        </w:rPr>
        <w:endnoteReference w:id="70"/>
      </w:r>
      <w:r>
        <w:t>.</w:t>
      </w:r>
    </w:p>
    <w:p w14:paraId="4C9ED7F0" w14:textId="77777777" w:rsidR="00B100FF" w:rsidRPr="00A55A70" w:rsidRDefault="00B100FF" w:rsidP="00B100FF">
      <w:pPr>
        <w:pStyle w:val="SingleTxtG"/>
      </w:pPr>
      <w:r>
        <w:t>60.</w:t>
      </w:r>
      <w:r>
        <w:tab/>
        <w:t xml:space="preserve">Комитет по правам ребенка рекомендовал государству продолжать наращивать усилия по обеспечению надлежащего дородового и послеродового ухода и снижению </w:t>
      </w:r>
      <w:r>
        <w:lastRenderedPageBreak/>
        <w:t>высоких показателей смертности младенцев и детей в возрасте до пяти лет, а также показателей материнской смертности, которые являются по-прежнему высокими</w:t>
      </w:r>
      <w:r w:rsidRPr="008A4607">
        <w:rPr>
          <w:rStyle w:val="ab"/>
        </w:rPr>
        <w:endnoteReference w:id="71"/>
      </w:r>
      <w:r>
        <w:t>.</w:t>
      </w:r>
    </w:p>
    <w:p w14:paraId="04CEDFF8" w14:textId="77777777" w:rsidR="00B100FF" w:rsidRPr="00A55A70" w:rsidRDefault="00B100FF" w:rsidP="00B100FF">
      <w:pPr>
        <w:pStyle w:val="SingleTxtG"/>
      </w:pPr>
      <w:r>
        <w:t>61.</w:t>
      </w:r>
      <w:r>
        <w:tab/>
        <w:t>Этот же Комитет выразил серьезную обеспокоенность высоким уровнем подростковой беременности, широким распространением среди подростков инфекций, передающихся половым путем, а также высоким уровнем инфицирования ВИЧ, особенно среди девочек-подростков. Он также выразил серьезную обеспокоенность отсутствием надлежащего доступа к информации и услугам по охране сексуального и репродуктивного здоровья</w:t>
      </w:r>
      <w:r w:rsidRPr="008A4607">
        <w:rPr>
          <w:rStyle w:val="ab"/>
        </w:rPr>
        <w:endnoteReference w:id="72"/>
      </w:r>
      <w:r>
        <w:t>.</w:t>
      </w:r>
    </w:p>
    <w:p w14:paraId="0F72CF0A" w14:textId="77777777" w:rsidR="00B100FF" w:rsidRPr="00A55A70" w:rsidRDefault="00B100FF" w:rsidP="00B100FF">
      <w:pPr>
        <w:pStyle w:val="SingleTxtG"/>
      </w:pPr>
      <w:r>
        <w:t>62.</w:t>
      </w:r>
      <w:r>
        <w:tab/>
        <w:t>Страновая группа рекомендовала правительству улучшить доступ маргинализированных и уязвимых групп населения к качественным услугам и товарам в области охраны сексуального и репродуктивного здоровья</w:t>
      </w:r>
      <w:r w:rsidRPr="008A4607">
        <w:rPr>
          <w:rStyle w:val="ab"/>
          <w:rFonts w:cstheme="minorHAnsi"/>
        </w:rPr>
        <w:endnoteReference w:id="73"/>
      </w:r>
      <w:r>
        <w:t>.</w:t>
      </w:r>
    </w:p>
    <w:p w14:paraId="427D70F9" w14:textId="77777777" w:rsidR="00B100FF" w:rsidRPr="00A55A70" w:rsidRDefault="00B100FF" w:rsidP="00B100FF">
      <w:pPr>
        <w:pStyle w:val="SingleTxtG"/>
      </w:pPr>
      <w:r>
        <w:t>63.</w:t>
      </w:r>
      <w:r>
        <w:tab/>
        <w:t>Комитет по правам ребенка настоятельно призвал государство обеспечить, чтобы образование в области сексуального и репродуктивного здоровья являлось частью обязательной школьной учебной программы и предназначалось для девочек и мальчиков подросткового возраста с уделением особого внимания предотвращению ранних беременностей и инфекций, передаваемых половым путем, включая ВИЧ</w:t>
      </w:r>
      <w:r w:rsidRPr="008A4607">
        <w:rPr>
          <w:rStyle w:val="ab"/>
        </w:rPr>
        <w:endnoteReference w:id="74"/>
      </w:r>
      <w:r>
        <w:t>.</w:t>
      </w:r>
    </w:p>
    <w:p w14:paraId="6163DF17" w14:textId="77777777" w:rsidR="00B100FF" w:rsidRPr="00A55A70" w:rsidRDefault="00B100FF" w:rsidP="00B100FF">
      <w:pPr>
        <w:pStyle w:val="SingleTxtG"/>
      </w:pPr>
      <w:r>
        <w:t>64.</w:t>
      </w:r>
      <w:r>
        <w:tab/>
        <w:t>Комитет по ликвидации дискриминации в отношении женщин вновь выразил обеспокоенность широкой распространенностью небезопасных абортов и отсутствием мер по выполнению предыдущих рекомендаций Комитета о пересмотре законодательства, предусматривающего уголовную ответственность за аборты</w:t>
      </w:r>
      <w:r w:rsidRPr="008A4607">
        <w:rPr>
          <w:rStyle w:val="ab"/>
        </w:rPr>
        <w:endnoteReference w:id="75"/>
      </w:r>
      <w:r>
        <w:t>.</w:t>
      </w:r>
    </w:p>
    <w:p w14:paraId="4F725F01" w14:textId="77777777" w:rsidR="00B100FF" w:rsidRPr="00A55A70" w:rsidRDefault="00B100FF" w:rsidP="00B100FF">
      <w:pPr>
        <w:pStyle w:val="SingleTxtG"/>
      </w:pPr>
      <w:r>
        <w:t>65.</w:t>
      </w:r>
      <w:r>
        <w:tab/>
        <w:t>Этот же Комитет рекомендовал государству обеспечить доступ к безопасным и недорогостоящим противозачаточным средствам, услугам по планированию семьи и надлежащей информации о сексуальном и репродуктивном здоровье</w:t>
      </w:r>
      <w:r w:rsidRPr="008A4607">
        <w:rPr>
          <w:rStyle w:val="ab"/>
        </w:rPr>
        <w:endnoteReference w:id="76"/>
      </w:r>
      <w:r>
        <w:t>.</w:t>
      </w:r>
    </w:p>
    <w:p w14:paraId="71B3878C" w14:textId="77777777" w:rsidR="00B100FF" w:rsidRPr="00A55A70" w:rsidRDefault="00B100FF" w:rsidP="00B100FF">
      <w:pPr>
        <w:pStyle w:val="SingleTxtG"/>
      </w:pPr>
      <w:r>
        <w:t>66.</w:t>
      </w:r>
      <w:r>
        <w:tab/>
        <w:t>Комитет по правам ребенка рекомендовал государству разработать политику и программы по укреплению потенциала семей и общины в целях обеспечения ухода за детьми, живущими с ВИЧ/ СПИДом, и оказания им поддержки, а также продолжать мероприятия по преодолению стигматизации и дискриминации по причине ВИЧ/СПИДа, включая повышение осведомленности о правах человека в контексте ВИЧ/СПИДа</w:t>
      </w:r>
      <w:r w:rsidRPr="008A4607">
        <w:rPr>
          <w:rStyle w:val="ab"/>
        </w:rPr>
        <w:endnoteReference w:id="77"/>
      </w:r>
      <w:r>
        <w:t>.</w:t>
      </w:r>
    </w:p>
    <w:p w14:paraId="0F63EC11" w14:textId="13E19793" w:rsidR="00B100FF" w:rsidRPr="00A55A70" w:rsidRDefault="00B100FF" w:rsidP="00B100FF">
      <w:pPr>
        <w:pStyle w:val="SingleTxtG"/>
      </w:pPr>
      <w:r>
        <w:t>67.</w:t>
      </w:r>
      <w:r>
        <w:tab/>
        <w:t>Страновая группа рекомендовала правительству реализовать национальный стратегический план по борьбе с ВИЧ на 2021–2026 годы и совершенствовать услуги по уходу за людьми, живущими с ВИЧ</w:t>
      </w:r>
      <w:r w:rsidRPr="008A4607">
        <w:rPr>
          <w:rStyle w:val="ab"/>
          <w:rFonts w:cstheme="minorHAnsi"/>
        </w:rPr>
        <w:endnoteReference w:id="78"/>
      </w:r>
      <w:r>
        <w:t>.</w:t>
      </w:r>
    </w:p>
    <w:p w14:paraId="0763F25D" w14:textId="4D5346EE" w:rsidR="00B100FF" w:rsidRPr="00A55A70" w:rsidRDefault="00B100FF" w:rsidP="00B100FF">
      <w:pPr>
        <w:pStyle w:val="SingleTxtG"/>
      </w:pPr>
      <w:r>
        <w:t>68.</w:t>
      </w:r>
      <w:r>
        <w:tab/>
        <w:t>Страновая группа заявила, что национальный план профилактики самоубийств на 2016</w:t>
      </w:r>
      <w:r w:rsidRPr="002B1F2B">
        <w:t>–</w:t>
      </w:r>
      <w:r>
        <w:t>2020 годы не был осуществлен эффективным образом и что проблема самоубийств по-прежнему вызывает серьезную обеспокоенность. Страновая группа также заявила, что Суринам занимает первое место в мировом рейтинге по количеству смертей в результате самоубийства и попыток самоубийства; на 100</w:t>
      </w:r>
      <w:r w:rsidR="002C4EEE">
        <w:rPr>
          <w:lang w:val="en-US"/>
        </w:rPr>
        <w:t> </w:t>
      </w:r>
      <w:r>
        <w:t>000 жителей приходится 26 смертей в результате самоубийства</w:t>
      </w:r>
      <w:r w:rsidRPr="008A4607">
        <w:rPr>
          <w:rStyle w:val="ab"/>
          <w:rFonts w:cstheme="minorHAnsi"/>
          <w:shd w:val="clear" w:color="auto" w:fill="FFFFFF"/>
        </w:rPr>
        <w:endnoteReference w:id="79"/>
      </w:r>
      <w:r>
        <w:t>.</w:t>
      </w:r>
    </w:p>
    <w:p w14:paraId="20559761" w14:textId="77777777" w:rsidR="00B100FF" w:rsidRPr="00A55A70" w:rsidRDefault="00B100FF" w:rsidP="00B100FF">
      <w:pPr>
        <w:pStyle w:val="SingleTxtG"/>
      </w:pPr>
      <w:r>
        <w:t>69.</w:t>
      </w:r>
      <w:r>
        <w:tab/>
        <w:t>Комитет по правам ребенка рекомендовал государству повысить качество и доступность услуг и программ по охране психического здоровья детей, в частности, принять срочные меры по активизации усилий в целях предотвращения самоубийств среди детей и подростков, в том числе путем расширения предоставляемых услуг по психологическому консультированию и увеличения числа социальных работников в школах и общинах</w:t>
      </w:r>
      <w:r w:rsidRPr="008A4607">
        <w:rPr>
          <w:rStyle w:val="ab"/>
        </w:rPr>
        <w:endnoteReference w:id="80"/>
      </w:r>
      <w:r>
        <w:t>.</w:t>
      </w:r>
    </w:p>
    <w:p w14:paraId="0E9D238E" w14:textId="77777777" w:rsidR="00B100FF" w:rsidRPr="00A55A70" w:rsidRDefault="00B100FF" w:rsidP="00B100FF">
      <w:pPr>
        <w:pStyle w:val="SingleTxtG"/>
      </w:pPr>
      <w:r>
        <w:t>70.</w:t>
      </w:r>
      <w:r>
        <w:tab/>
        <w:t>Страновая группа рекомендовала правительству разработать новый национальный план по охране психического здоровья</w:t>
      </w:r>
      <w:r w:rsidRPr="008A4607">
        <w:rPr>
          <w:rStyle w:val="ab"/>
          <w:color w:val="000000"/>
          <w:lang w:eastAsia="en-GB"/>
        </w:rPr>
        <w:endnoteReference w:id="81"/>
      </w:r>
      <w:r>
        <w:t>.</w:t>
      </w:r>
    </w:p>
    <w:p w14:paraId="3D69C4B8" w14:textId="77777777" w:rsidR="00B100FF" w:rsidRPr="00B100FF" w:rsidRDefault="00B100FF" w:rsidP="00B100FF">
      <w:pPr>
        <w:pStyle w:val="H23G"/>
        <w:rPr>
          <w:b w:val="0"/>
          <w:bCs/>
        </w:rPr>
      </w:pPr>
      <w:r>
        <w:tab/>
        <w:t>5.</w:t>
      </w:r>
      <w:r>
        <w:tab/>
      </w:r>
      <w:r>
        <w:rPr>
          <w:bCs/>
        </w:rPr>
        <w:t>Право на образование</w:t>
      </w:r>
      <w:r w:rsidRPr="00B100FF">
        <w:rPr>
          <w:rStyle w:val="ab"/>
          <w:b w:val="0"/>
          <w:bCs/>
        </w:rPr>
        <w:endnoteReference w:id="82"/>
      </w:r>
    </w:p>
    <w:p w14:paraId="1DACA149" w14:textId="77777777" w:rsidR="00B100FF" w:rsidRPr="00A55A70" w:rsidRDefault="00B100FF" w:rsidP="00B100FF">
      <w:pPr>
        <w:pStyle w:val="SingleTxtG"/>
      </w:pPr>
      <w:r>
        <w:t>71.</w:t>
      </w:r>
      <w:r>
        <w:tab/>
        <w:t>Комитет по правам ребенка заявил о серьезной обеспокоенности отсутствием школ в некоторых отдаленных районах и недостаточным числом профессионально подготовленных преподавателей на всех уровнях, ненадлежащей подготовкой преподавателей и недостаточным качеством учебных материалов, а также неразвитостью инфраструктуры</w:t>
      </w:r>
      <w:r w:rsidRPr="008A4607">
        <w:rPr>
          <w:rStyle w:val="ab"/>
        </w:rPr>
        <w:endnoteReference w:id="83"/>
      </w:r>
      <w:r>
        <w:t>.</w:t>
      </w:r>
    </w:p>
    <w:p w14:paraId="02B42A37" w14:textId="77777777" w:rsidR="00B100FF" w:rsidRPr="00A55A70" w:rsidRDefault="00B100FF" w:rsidP="00B100FF">
      <w:pPr>
        <w:pStyle w:val="SingleTxtG"/>
      </w:pPr>
      <w:r>
        <w:lastRenderedPageBreak/>
        <w:t>72.</w:t>
      </w:r>
      <w:r>
        <w:tab/>
        <w:t>Этот же Комитет также выразил серьезную обеспокоенность недостаточным доступом к образованию детей из семей с низким уровнем дохода, особенно в отдаленных районах, низким возрастом обязательного школьного образования, препятствиями в доступе к образованию, включая плату за школьные материалы, и пробелами в области образования детей младшего возраста</w:t>
      </w:r>
      <w:r w:rsidRPr="008A4607">
        <w:rPr>
          <w:rStyle w:val="ab"/>
        </w:rPr>
        <w:endnoteReference w:id="84"/>
      </w:r>
      <w:r>
        <w:t>.</w:t>
      </w:r>
    </w:p>
    <w:p w14:paraId="54C43867" w14:textId="77777777" w:rsidR="00B100FF" w:rsidRPr="00A55A70" w:rsidRDefault="00B100FF" w:rsidP="00B100FF">
      <w:pPr>
        <w:pStyle w:val="SingleTxtG"/>
      </w:pPr>
      <w:r>
        <w:t>73.</w:t>
      </w:r>
      <w:r>
        <w:tab/>
        <w:t>Комитет по ликвидации дискриминации в отношении женщин вновь выразил обеспокоенность ограниченным доступом к образованию для девочек из групп, находящихся в неблагоприятном положении, в том числе девочек с инвалидностью, и значительными различиями в показателях охвата образованием между сельскими и городскими районами, а также низким качеством обучения в начальных школах и отсутствием средних школ в сельских районах</w:t>
      </w:r>
      <w:r w:rsidRPr="008A4607">
        <w:rPr>
          <w:rStyle w:val="ab"/>
        </w:rPr>
        <w:endnoteReference w:id="85"/>
      </w:r>
      <w:r>
        <w:t>.</w:t>
      </w:r>
    </w:p>
    <w:p w14:paraId="06B498A5" w14:textId="77777777" w:rsidR="00B100FF" w:rsidRPr="00A55A70" w:rsidRDefault="00B100FF" w:rsidP="00B100FF">
      <w:pPr>
        <w:pStyle w:val="SingleTxtG"/>
      </w:pPr>
      <w:r>
        <w:t>74.</w:t>
      </w:r>
      <w:r>
        <w:tab/>
        <w:t>Комитет по правам ребенка заявил о серьезной обеспокоенности в связи с большим количеством</w:t>
      </w:r>
      <w:r w:rsidRPr="002B1F2B">
        <w:t xml:space="preserve"> бросивших школу</w:t>
      </w:r>
      <w:r>
        <w:t xml:space="preserve"> учащихся, особенно девочек, проживающих в отдаленных районах страны, и мальчиков в целом по стране, а также большим количеством учащихся, которые остаются на второй год в одном классе</w:t>
      </w:r>
      <w:r w:rsidRPr="008A4607">
        <w:rPr>
          <w:rStyle w:val="ab"/>
        </w:rPr>
        <w:endnoteReference w:id="86"/>
      </w:r>
      <w:r>
        <w:t>.</w:t>
      </w:r>
    </w:p>
    <w:p w14:paraId="5950B886" w14:textId="77777777" w:rsidR="00B100FF" w:rsidRPr="00A55A70" w:rsidRDefault="00B100FF" w:rsidP="00B100FF">
      <w:pPr>
        <w:pStyle w:val="SingleTxtG"/>
      </w:pPr>
      <w:r>
        <w:t>75.</w:t>
      </w:r>
      <w:r>
        <w:tab/>
        <w:t>Страновая группа Организации Объединенных Наций заявила, что дети с инвалидностью позже начинают посещать школу, испытывают трудности с получением высшего образования и характеризуются самым высоким процентом отсева учащихся</w:t>
      </w:r>
      <w:r w:rsidRPr="008A4607">
        <w:rPr>
          <w:rStyle w:val="ab"/>
          <w:rFonts w:cstheme="minorHAnsi"/>
        </w:rPr>
        <w:endnoteReference w:id="87"/>
      </w:r>
      <w:r>
        <w:t>.</w:t>
      </w:r>
    </w:p>
    <w:p w14:paraId="08C3CA92" w14:textId="77777777" w:rsidR="00B100FF" w:rsidRPr="00A55A70" w:rsidRDefault="00B100FF" w:rsidP="00B100FF">
      <w:pPr>
        <w:pStyle w:val="SingleTxtG"/>
      </w:pPr>
      <w:r>
        <w:t>76.</w:t>
      </w:r>
      <w:r>
        <w:tab/>
        <w:t>Комитет по ликвидации дискриминации в отношении женщин вновь выразил обеспокоенность высоким процентом отсева учащихся и исключения из школ по причине ранней беременности, а также тенденцией молодых матерей получать профессиональную подготовку вместо того, чтобы возвращаться в школу</w:t>
      </w:r>
      <w:r w:rsidRPr="008A4607">
        <w:rPr>
          <w:rStyle w:val="ab"/>
        </w:rPr>
        <w:endnoteReference w:id="88"/>
      </w:r>
      <w:r>
        <w:t>.</w:t>
      </w:r>
    </w:p>
    <w:p w14:paraId="5A3EE701" w14:textId="5CE33B0B" w:rsidR="00B100FF" w:rsidRPr="00A55A70" w:rsidRDefault="00B100FF" w:rsidP="00B100FF">
      <w:pPr>
        <w:pStyle w:val="SingleTxtG"/>
      </w:pPr>
      <w:r>
        <w:t>77.</w:t>
      </w:r>
      <w:r>
        <w:tab/>
        <w:t>Этот же Комитет вновь выразил обеспокоенность тем, что возраст учащихся, охватываемых обязательным образованием, не может превышать 12 лет, и рекомендовал увеличить его до 16 лет для девушек и юношей</w:t>
      </w:r>
      <w:r w:rsidRPr="008A4607">
        <w:rPr>
          <w:rStyle w:val="ab"/>
        </w:rPr>
        <w:endnoteReference w:id="89"/>
      </w:r>
      <w:r>
        <w:t>.</w:t>
      </w:r>
    </w:p>
    <w:p w14:paraId="3A30F265" w14:textId="77777777" w:rsidR="00B100FF" w:rsidRPr="00A55A70" w:rsidRDefault="00B100FF" w:rsidP="00B100FF">
      <w:pPr>
        <w:pStyle w:val="SingleTxtG"/>
      </w:pPr>
      <w:r>
        <w:t>78.</w:t>
      </w:r>
      <w:r>
        <w:tab/>
        <w:t>Комитет вновь выразил обеспокоенность отсутствием двуязычного образования для девочек и мальчиков из числа маронов и коренных народов</w:t>
      </w:r>
      <w:r w:rsidRPr="008A4607">
        <w:rPr>
          <w:rStyle w:val="ab"/>
        </w:rPr>
        <w:endnoteReference w:id="90"/>
      </w:r>
      <w:r>
        <w:t>.</w:t>
      </w:r>
    </w:p>
    <w:p w14:paraId="02CFEF27" w14:textId="77777777" w:rsidR="00B100FF" w:rsidRPr="00A55A70" w:rsidRDefault="00B100FF" w:rsidP="00B100FF">
      <w:pPr>
        <w:pStyle w:val="SingleTxtG"/>
      </w:pPr>
      <w:r>
        <w:t>79.</w:t>
      </w:r>
      <w:r>
        <w:tab/>
        <w:t>Комитет по правам ребенка призвал государство продолжать усилия, направленные на расширение доступа к образованию, независимо от возможности оплачивать школьные материалы, на уровне начальной и средней школы, и повышать качество образования путем обеспечения достаточного и своевременного финансирования, надлежащих условий, учебных материалов и средств обучения, учитывающих национальный и местный контексты, с особым упором на отдаленные районы, а также путем повышения безопасности транспорта и использования информационно-коммуникационных технологий</w:t>
      </w:r>
      <w:r w:rsidRPr="008A4607">
        <w:rPr>
          <w:rStyle w:val="ab"/>
        </w:rPr>
        <w:endnoteReference w:id="91"/>
      </w:r>
      <w:r>
        <w:t>.</w:t>
      </w:r>
    </w:p>
    <w:p w14:paraId="7E165234" w14:textId="77777777" w:rsidR="00B100FF" w:rsidRPr="00A55A70" w:rsidRDefault="00B100FF" w:rsidP="00B100FF">
      <w:pPr>
        <w:pStyle w:val="SingleTxtG"/>
      </w:pPr>
      <w:r>
        <w:t>80.</w:t>
      </w:r>
      <w:r>
        <w:tab/>
        <w:t>Страновая группа рекомендовала правительству улучшить доступ к начальному и среднему образованию для всех детей, включая детей с инвалидностью</w:t>
      </w:r>
      <w:r w:rsidRPr="008A4607">
        <w:rPr>
          <w:rStyle w:val="ab"/>
          <w:color w:val="000000"/>
          <w:lang w:eastAsia="en-GB"/>
        </w:rPr>
        <w:endnoteReference w:id="92"/>
      </w:r>
      <w:r>
        <w:t>.</w:t>
      </w:r>
    </w:p>
    <w:p w14:paraId="395C8716" w14:textId="77777777" w:rsidR="00B100FF" w:rsidRPr="00A55A70" w:rsidRDefault="00B100FF" w:rsidP="00B100FF">
      <w:pPr>
        <w:pStyle w:val="SingleTxtG"/>
      </w:pPr>
      <w:r>
        <w:t>81.</w:t>
      </w:r>
      <w:r>
        <w:tab/>
        <w:t>Комитет экспертов МОТ настоятельно призвал правительство активизировать свои усилия по улучшению функционирования системы образования, в частности, по расширению охвата детей школьным образованием, увеличению посещаемости и показателей окончания учащимися средней школы</w:t>
      </w:r>
      <w:r w:rsidRPr="008A4607">
        <w:rPr>
          <w:rStyle w:val="ab"/>
        </w:rPr>
        <w:endnoteReference w:id="93"/>
      </w:r>
      <w:r>
        <w:t>.</w:t>
      </w:r>
    </w:p>
    <w:p w14:paraId="2DB71AA7" w14:textId="77777777" w:rsidR="00B100FF" w:rsidRPr="00A55A70" w:rsidRDefault="00B100FF" w:rsidP="00B100FF">
      <w:pPr>
        <w:pStyle w:val="H1G"/>
      </w:pPr>
      <w:r>
        <w:tab/>
        <w:t>D.</w:t>
      </w:r>
      <w:r>
        <w:tab/>
      </w:r>
      <w:r>
        <w:rPr>
          <w:bCs/>
        </w:rPr>
        <w:t>Права конкретных лиц или групп</w:t>
      </w:r>
    </w:p>
    <w:p w14:paraId="64865354" w14:textId="77777777" w:rsidR="00B100FF" w:rsidRPr="00B100FF" w:rsidRDefault="00B100FF" w:rsidP="00B100FF">
      <w:pPr>
        <w:pStyle w:val="H23G"/>
        <w:rPr>
          <w:b w:val="0"/>
          <w:bCs/>
        </w:rPr>
      </w:pPr>
      <w:r>
        <w:tab/>
        <w:t>1.</w:t>
      </w:r>
      <w:r>
        <w:tab/>
      </w:r>
      <w:r>
        <w:rPr>
          <w:bCs/>
        </w:rPr>
        <w:t>Женщины</w:t>
      </w:r>
      <w:r w:rsidRPr="00B100FF">
        <w:rPr>
          <w:rStyle w:val="ab"/>
          <w:b w:val="0"/>
          <w:bCs/>
        </w:rPr>
        <w:endnoteReference w:id="94"/>
      </w:r>
    </w:p>
    <w:p w14:paraId="1037B57B" w14:textId="77777777" w:rsidR="00B100FF" w:rsidRPr="00A55A70" w:rsidRDefault="00B100FF" w:rsidP="00B100FF">
      <w:pPr>
        <w:pStyle w:val="SingleTxtG"/>
      </w:pPr>
      <w:r>
        <w:t>82.</w:t>
      </w:r>
      <w:r>
        <w:tab/>
        <w:t xml:space="preserve">Страновая группа Организации Объединенных Наций заявила, что семейно-бытовое насилие является широко распространенной проблемой. Правительством были приняты законы, обеспечивающие конкретную защиту от насилия в отношении женщин и девочек, однако их применение осложнялось отсутствием подготовки и инструментальных средств на оперативном уровне для осуществления надлежащей регистрации и отслеживания случаев, отсутствием служб по оказанию социальной </w:t>
      </w:r>
      <w:r>
        <w:lastRenderedPageBreak/>
        <w:t>помощи пострадавшим, а также неэффективностью и недейственностью систем уголовного правосудия для привлечения виновных к ответственности</w:t>
      </w:r>
      <w:r w:rsidRPr="008A4607">
        <w:rPr>
          <w:rStyle w:val="ab"/>
        </w:rPr>
        <w:endnoteReference w:id="95"/>
      </w:r>
      <w:r>
        <w:t>.</w:t>
      </w:r>
    </w:p>
    <w:p w14:paraId="4439DBBE" w14:textId="77777777" w:rsidR="00B100FF" w:rsidRPr="00A55A70" w:rsidRDefault="00B100FF" w:rsidP="00B100FF">
      <w:pPr>
        <w:pStyle w:val="SingleTxtG"/>
      </w:pPr>
      <w:r>
        <w:t>83.</w:t>
      </w:r>
      <w:r>
        <w:tab/>
        <w:t>Комитет по ликвидации дискриминации в отношении женщин рекомендовал государству создать без каких-либо задержек конфиденциальный механизм подачи и рассмотрения жалоб для женщин, ставших жертвами дискриминации и гендерного насилия</w:t>
      </w:r>
      <w:r w:rsidRPr="008A4607">
        <w:rPr>
          <w:rStyle w:val="ab"/>
        </w:rPr>
        <w:endnoteReference w:id="96"/>
      </w:r>
      <w:r>
        <w:t>.</w:t>
      </w:r>
    </w:p>
    <w:p w14:paraId="7AAFDA5E" w14:textId="77777777" w:rsidR="00B100FF" w:rsidRPr="00A55A70" w:rsidRDefault="00B100FF" w:rsidP="00B100FF">
      <w:pPr>
        <w:pStyle w:val="SingleTxtG"/>
      </w:pPr>
      <w:r>
        <w:t>84.</w:t>
      </w:r>
      <w:r>
        <w:tab/>
        <w:t>Этот же Комитет также рекомендовал государству создать дополнительные приюты для жертв гендерного насилия, которые были бы доступны для всех женщин и девочек, особенно тех, кто живет в сельских районах, и обеспечить предоставление в них правовой помощи, услуг по реабилитации и психосоциальной поддержки жертвам</w:t>
      </w:r>
      <w:r w:rsidRPr="008A4607">
        <w:rPr>
          <w:rStyle w:val="ab"/>
        </w:rPr>
        <w:endnoteReference w:id="97"/>
      </w:r>
      <w:r>
        <w:t>.</w:t>
      </w:r>
    </w:p>
    <w:p w14:paraId="475939E4" w14:textId="77777777" w:rsidR="00B100FF" w:rsidRPr="00A55A70" w:rsidRDefault="00B100FF" w:rsidP="00B100FF">
      <w:pPr>
        <w:pStyle w:val="SingleTxtG"/>
      </w:pPr>
      <w:r>
        <w:t>85.</w:t>
      </w:r>
      <w:r>
        <w:tab/>
        <w:t>Страновая группа рекомендовала правительству продолжать работу по укреплению потенциала должностных лиц, контактирующих с уязвимыми лицами, и оказанию им поддержки в вопросах направления и/или предоставления доступных услуг. Она также рекомендовала правительству активизировать усилия по улучшению сбора данных о гендерном насилии</w:t>
      </w:r>
      <w:r w:rsidRPr="008A4607">
        <w:rPr>
          <w:rStyle w:val="ab"/>
          <w:rFonts w:cstheme="minorHAnsi"/>
        </w:rPr>
        <w:endnoteReference w:id="98"/>
      </w:r>
      <w:r>
        <w:t>.</w:t>
      </w:r>
    </w:p>
    <w:p w14:paraId="450EAF7A" w14:textId="77777777" w:rsidR="00B100FF" w:rsidRPr="00A55A70" w:rsidRDefault="00B100FF" w:rsidP="00B100FF">
      <w:pPr>
        <w:pStyle w:val="SingleTxtG"/>
      </w:pPr>
      <w:r>
        <w:t>86.</w:t>
      </w:r>
      <w:r>
        <w:tab/>
        <w:t>Комитет по ликвидации дискриминации в отношении женщин вновь заявил о своей обеспокоенности в связи с сохранением дискриминационных стереотипов в отношении ролей и обязанностей женщин и мужчин в семье и в обществе</w:t>
      </w:r>
      <w:r w:rsidRPr="008A4607">
        <w:rPr>
          <w:rStyle w:val="ab"/>
        </w:rPr>
        <w:endnoteReference w:id="99"/>
      </w:r>
      <w:r>
        <w:t>.</w:t>
      </w:r>
    </w:p>
    <w:p w14:paraId="5F6EB861" w14:textId="77777777" w:rsidR="00B100FF" w:rsidRPr="00A55A70" w:rsidRDefault="00B100FF" w:rsidP="00B100FF">
      <w:pPr>
        <w:pStyle w:val="SingleTxtG"/>
      </w:pPr>
      <w:r>
        <w:t>87.</w:t>
      </w:r>
      <w:r>
        <w:tab/>
        <w:t>Этот же Комитет выразил обеспокоенность относительно минимального возраста вступления в брак, который составляет 15 лет для девочек, несоразмерно высоким числом сельских женщин, женщин-маронов и женщин из числа коренных народов в возрасте от 15 до 17 лет, которые состоят в браке, и отсутствием национальной стратегии по пресечению и предупреждению детских браков</w:t>
      </w:r>
      <w:r w:rsidRPr="008A4607">
        <w:rPr>
          <w:rStyle w:val="ab"/>
        </w:rPr>
        <w:endnoteReference w:id="100"/>
      </w:r>
      <w:r>
        <w:t>.</w:t>
      </w:r>
    </w:p>
    <w:p w14:paraId="35A45202" w14:textId="77777777" w:rsidR="00B100FF" w:rsidRPr="00A55A70" w:rsidRDefault="00B100FF" w:rsidP="00B100FF">
      <w:pPr>
        <w:pStyle w:val="SingleTxtG"/>
      </w:pPr>
      <w:r>
        <w:t>88.</w:t>
      </w:r>
      <w:r>
        <w:tab/>
        <w:t>Комитет по правам ребенка настоятельно призвал государство принять проект поправки к Закону о браке, устанавливающий минимальный возраст вступления в брак для юношей и девушек 18 лет</w:t>
      </w:r>
      <w:r w:rsidRPr="008A4607">
        <w:rPr>
          <w:rStyle w:val="ab"/>
        </w:rPr>
        <w:endnoteReference w:id="101"/>
      </w:r>
      <w:r>
        <w:t>.</w:t>
      </w:r>
    </w:p>
    <w:p w14:paraId="7BEAD85C" w14:textId="77777777" w:rsidR="00B100FF" w:rsidRPr="00A55A70" w:rsidRDefault="00B100FF" w:rsidP="00B100FF">
      <w:pPr>
        <w:pStyle w:val="SingleTxtG"/>
      </w:pPr>
      <w:r>
        <w:t>89.</w:t>
      </w:r>
      <w:r>
        <w:tab/>
        <w:t>Комитет по ликвидации дискриминации в отношении женщин подтвердил свою ранее выраженную им обеспокоенность по поводу значительной недопредставленности женщин в политической и общественной жизни, в частности на руководящих должностях, в том числе в Национальной ассамблее и Совете министров</w:t>
      </w:r>
      <w:r w:rsidRPr="008A4607">
        <w:rPr>
          <w:rStyle w:val="ab"/>
        </w:rPr>
        <w:endnoteReference w:id="102"/>
      </w:r>
      <w:r>
        <w:t>.</w:t>
      </w:r>
    </w:p>
    <w:p w14:paraId="7B7B461E" w14:textId="77777777" w:rsidR="00B100FF" w:rsidRPr="00A55A70" w:rsidRDefault="00B100FF" w:rsidP="00B100FF">
      <w:pPr>
        <w:pStyle w:val="H23G"/>
      </w:pPr>
      <w:r>
        <w:tab/>
        <w:t>2.</w:t>
      </w:r>
      <w:r>
        <w:tab/>
      </w:r>
      <w:r>
        <w:rPr>
          <w:bCs/>
        </w:rPr>
        <w:t>Дети</w:t>
      </w:r>
      <w:r w:rsidRPr="00B100FF">
        <w:rPr>
          <w:rStyle w:val="ab"/>
          <w:b w:val="0"/>
          <w:bCs/>
        </w:rPr>
        <w:endnoteReference w:id="103"/>
      </w:r>
    </w:p>
    <w:p w14:paraId="433DE11D" w14:textId="77777777" w:rsidR="00B100FF" w:rsidRPr="00A55A70" w:rsidRDefault="00B100FF" w:rsidP="00B100FF">
      <w:pPr>
        <w:pStyle w:val="SingleTxtG"/>
      </w:pPr>
      <w:r>
        <w:t>90.</w:t>
      </w:r>
      <w:r>
        <w:tab/>
        <w:t>Комитет по правам ребенка отметил увеличение числа детей, сталкивающихся с жестоким обращением и безнадзорностью. Он повторил свою рекомендацию государству принимать все необходимые меры для обеспечения того, чтобы сообщение информации о случаях жестокого обращения с детьми и безнадзорности было обязательным для всех лиц, работающих с детьми и в интересах детей. Он также рекомендовал государству создать национальную базу данных по всем случаям семейно-бытового насилия в отношении детей и провести всеобъемлющую оценку масштабов, причин и характера такого насилия</w:t>
      </w:r>
      <w:r w:rsidRPr="008A4607">
        <w:rPr>
          <w:rStyle w:val="ab"/>
        </w:rPr>
        <w:endnoteReference w:id="104"/>
      </w:r>
      <w:r>
        <w:t>.</w:t>
      </w:r>
    </w:p>
    <w:p w14:paraId="37F1E4E3" w14:textId="77777777" w:rsidR="00B100FF" w:rsidRPr="00A55A70" w:rsidRDefault="00B100FF" w:rsidP="00B100FF">
      <w:pPr>
        <w:pStyle w:val="SingleTxtG"/>
      </w:pPr>
      <w:r>
        <w:t>91.</w:t>
      </w:r>
      <w:r>
        <w:tab/>
        <w:t>Этот же Комитет далее рекомендовал государству принять меры для обеспечения круглосуточной работы детской телефонной «горячей линии», ее надлежащего укомплектования кадрами и снабжения ресурсами, увеличения числа приютов для детей, ставших жертвами жестокого обращения и безнадзорности, а также содействия физической и психологической реабилитации детей-жертв</w:t>
      </w:r>
      <w:r w:rsidRPr="008A4607">
        <w:rPr>
          <w:rStyle w:val="ab"/>
        </w:rPr>
        <w:endnoteReference w:id="105"/>
      </w:r>
      <w:r>
        <w:t>.</w:t>
      </w:r>
    </w:p>
    <w:p w14:paraId="55E699A7" w14:textId="77777777" w:rsidR="00B100FF" w:rsidRPr="00A55A70" w:rsidRDefault="00B100FF" w:rsidP="00B100FF">
      <w:pPr>
        <w:pStyle w:val="SingleTxtG"/>
      </w:pPr>
      <w:r>
        <w:t>92.</w:t>
      </w:r>
      <w:r>
        <w:tab/>
        <w:t xml:space="preserve">Комитет также рекомендовал государству обеспечить, чтобы все специалисты и сотрудники, работающие с детьми и в интересах детей, проходили необходимую подготовку, чтобы их анкетные данные </w:t>
      </w:r>
      <w:r w:rsidRPr="002B1F2B">
        <w:t>подвергались проверке</w:t>
      </w:r>
      <w:r>
        <w:t xml:space="preserve">, а также предусмотреть систематическую подготовку судей, прокуроров, полицейских и других сотрудников правоохранительных органов по вопросам предупреждения и мониторинга случаев семейно-бытового насилия, получения и расследования жалоб, касающихся таких </w:t>
      </w:r>
      <w:r>
        <w:lastRenderedPageBreak/>
        <w:t>форм насилия, с учетом интересов детей и гендерных аспектов и преследования виновных</w:t>
      </w:r>
      <w:r w:rsidRPr="008A4607">
        <w:rPr>
          <w:rStyle w:val="ab"/>
        </w:rPr>
        <w:endnoteReference w:id="106"/>
      </w:r>
      <w:r>
        <w:t>.</w:t>
      </w:r>
    </w:p>
    <w:p w14:paraId="0AA1768F" w14:textId="77777777" w:rsidR="00B100FF" w:rsidRPr="00A55A70" w:rsidRDefault="00B100FF" w:rsidP="00B100FF">
      <w:pPr>
        <w:pStyle w:val="SingleTxtG"/>
      </w:pPr>
      <w:r>
        <w:t>93.</w:t>
      </w:r>
      <w:r>
        <w:tab/>
        <w:t>Комитет выразил серьезную обеспокоенность высоким уровнем случаев сексуального насилия над детьми и их сексуальной эксплуатации в государстве, включая инцест, особенно в отношении девочек. Он также выразил обеспокоенность отсутствием приютов для детей-жертв и информации о расследованиях случаев сексуального надругательства, в том числе об итогах судебных процессов по таким делам, а также о возмещении ущерба и предоставляемых жертвам компенсациях</w:t>
      </w:r>
      <w:r w:rsidRPr="008A4607">
        <w:rPr>
          <w:rStyle w:val="ab"/>
        </w:rPr>
        <w:endnoteReference w:id="107"/>
      </w:r>
      <w:r>
        <w:t>.</w:t>
      </w:r>
    </w:p>
    <w:p w14:paraId="6F4E0C16" w14:textId="77777777" w:rsidR="00B100FF" w:rsidRPr="00A55A70" w:rsidRDefault="00B100FF" w:rsidP="00B100FF">
      <w:pPr>
        <w:pStyle w:val="SingleTxtG"/>
      </w:pPr>
      <w:r>
        <w:t>94.</w:t>
      </w:r>
      <w:r>
        <w:tab/>
        <w:t>Комитет настоятельно призвал государство разработать механизмы, процедуры и руководящие принципы для обеспечения обязательного информирования о случаях сексуального насилия над детьми и их сексуальной эксплуатации, обеспечить проведение эффективного расследования случаев сексуального насилия и эксплуатации и привлечение виновных к ответственности, при этом особое внимание следует уделить отдаленным районам государства</w:t>
      </w:r>
      <w:r w:rsidRPr="008A4607">
        <w:rPr>
          <w:rStyle w:val="ab"/>
        </w:rPr>
        <w:endnoteReference w:id="108"/>
      </w:r>
      <w:r>
        <w:t>.</w:t>
      </w:r>
    </w:p>
    <w:p w14:paraId="2032946A" w14:textId="77777777" w:rsidR="00B100FF" w:rsidRPr="00A55A70" w:rsidRDefault="00B100FF" w:rsidP="00B100FF">
      <w:pPr>
        <w:pStyle w:val="SingleTxtG"/>
      </w:pPr>
      <w:r>
        <w:t>95.</w:t>
      </w:r>
      <w:r>
        <w:tab/>
        <w:t>Комитет также настоятельно призвал государство проводить работу по усовершенствованию существующих и открытию новых приютов для детей, ставших жертвами сексуального насилия, и обеспечивать их укомплектование соответствующим образом подготовленными кадрами и ресурсами для эффективного предоставления комплексных услуг</w:t>
      </w:r>
      <w:r w:rsidRPr="008A4607">
        <w:rPr>
          <w:rStyle w:val="ab"/>
        </w:rPr>
        <w:endnoteReference w:id="109"/>
      </w:r>
      <w:r>
        <w:t>.</w:t>
      </w:r>
    </w:p>
    <w:p w14:paraId="4F747A0D" w14:textId="77777777" w:rsidR="00B100FF" w:rsidRPr="00A55A70" w:rsidRDefault="00B100FF" w:rsidP="00B100FF">
      <w:pPr>
        <w:pStyle w:val="SingleTxtG"/>
      </w:pPr>
      <w:r>
        <w:t>96.</w:t>
      </w:r>
      <w:r>
        <w:tab/>
        <w:t>Комитет рекомендовал государству по возможности поддерживать и распространять практику воспитания детей в семейном окружении, включая детей из семей с одним родителем, а также укреплять систему патронатного воспитания детей, которые не могут оставаться со своими семьями, в том числе путем принятия и осуществления законопроекта о детях, принятых на воспитание, с целью сокращения случаев помещения детей в специализированные учреждения</w:t>
      </w:r>
      <w:r w:rsidRPr="008A4607">
        <w:rPr>
          <w:rStyle w:val="ab"/>
        </w:rPr>
        <w:endnoteReference w:id="110"/>
      </w:r>
      <w:r>
        <w:t>.</w:t>
      </w:r>
    </w:p>
    <w:p w14:paraId="427B32DE" w14:textId="77777777" w:rsidR="00B100FF" w:rsidRPr="00A55A70" w:rsidRDefault="00B100FF" w:rsidP="00B100FF">
      <w:pPr>
        <w:pStyle w:val="SingleTxtG"/>
      </w:pPr>
      <w:r>
        <w:t>97.</w:t>
      </w:r>
      <w:r>
        <w:tab/>
        <w:t>Комитет также рекомендовал государству обеспечить предоставление достаточных кадровых, технических и финансовых ресурсов центрам альтернативного ухода и соответствующим службам защиты детей, а также принять и реализовать законопроект о защите детей в учреждениях интернатного типа и дневного ухода и законопроект об учреждениях по уходу с тем, чтобы гарантировать соблюдение надлежащих сертификационных требований и стандартов ухода во всех таких учреждениях по уходу</w:t>
      </w:r>
      <w:r w:rsidRPr="008A4607">
        <w:rPr>
          <w:rStyle w:val="ab"/>
        </w:rPr>
        <w:endnoteReference w:id="111"/>
      </w:r>
      <w:r>
        <w:t>.</w:t>
      </w:r>
    </w:p>
    <w:p w14:paraId="0B5B48F1" w14:textId="77777777" w:rsidR="00B100FF" w:rsidRPr="00A55A70" w:rsidRDefault="00B100FF" w:rsidP="00B100FF">
      <w:pPr>
        <w:pStyle w:val="SingleTxtG"/>
      </w:pPr>
      <w:r>
        <w:t>98.</w:t>
      </w:r>
      <w:r>
        <w:tab/>
        <w:t>Страновая группа ООН заявила, что около 6,1 процента (7,5 процента мальчиков и 4,5 процента девочек) детей в возрасте от 5 до 17 лет в Суринаме занимаются детским трудом и рекомендовала правительству продолжать работу по искоренению детского труда</w:t>
      </w:r>
      <w:r w:rsidRPr="008A4607">
        <w:rPr>
          <w:rStyle w:val="ab"/>
          <w:rFonts w:cstheme="minorHAnsi"/>
        </w:rPr>
        <w:endnoteReference w:id="112"/>
      </w:r>
      <w:r>
        <w:t>.</w:t>
      </w:r>
    </w:p>
    <w:p w14:paraId="4809F44E" w14:textId="77777777" w:rsidR="00B100FF" w:rsidRPr="00A55A70" w:rsidRDefault="00B100FF" w:rsidP="00B100FF">
      <w:pPr>
        <w:pStyle w:val="SingleTxtG"/>
      </w:pPr>
      <w:r>
        <w:t>99.</w:t>
      </w:r>
      <w:r>
        <w:tab/>
        <w:t>Комитет по правам ребенка заявил о серьезной обеспокоенности в связи с сохраняющейся проблемой детского труда в государстве, в сельскохозяйственном, рыболовном, лесозаготовительном и горнодобывающем секторах, а также в сфере ведения хозяйства, и в особенности в отношении мальчиков из маронских общин в отдаленных районах страны, которые непропорционально широко задействованы в наихудших формах детского труда</w:t>
      </w:r>
      <w:r w:rsidRPr="008A4607">
        <w:rPr>
          <w:rStyle w:val="ab"/>
        </w:rPr>
        <w:endnoteReference w:id="113"/>
      </w:r>
      <w:r>
        <w:t>.</w:t>
      </w:r>
    </w:p>
    <w:p w14:paraId="40EE3B5D" w14:textId="77777777" w:rsidR="00B100FF" w:rsidRPr="00A55A70" w:rsidRDefault="00B100FF" w:rsidP="00B100FF">
      <w:pPr>
        <w:pStyle w:val="SingleTxtG"/>
      </w:pPr>
      <w:r>
        <w:t>100.</w:t>
      </w:r>
      <w:r>
        <w:tab/>
        <w:t>Этот же Комитет настоятельно призвал государство принять меры по предотвращению экономической эксплуатации детей путем обеспечения соблюдения соответствующих положений Трудового кодекса, Уголовного кодекса и иного законодательства в области детского труда и принять политику по решению проблемы детского труда в формальном и неформальном секторах</w:t>
      </w:r>
      <w:r w:rsidRPr="008A4607">
        <w:rPr>
          <w:rStyle w:val="ab"/>
        </w:rPr>
        <w:endnoteReference w:id="114"/>
      </w:r>
      <w:r>
        <w:t>.</w:t>
      </w:r>
    </w:p>
    <w:p w14:paraId="0E682F43" w14:textId="77777777" w:rsidR="00B100FF" w:rsidRPr="00B100FF" w:rsidRDefault="00B100FF" w:rsidP="00B100FF">
      <w:pPr>
        <w:pStyle w:val="H23G"/>
        <w:rPr>
          <w:b w:val="0"/>
          <w:bCs/>
        </w:rPr>
      </w:pPr>
      <w:r>
        <w:tab/>
        <w:t>3.</w:t>
      </w:r>
      <w:r>
        <w:tab/>
      </w:r>
      <w:r>
        <w:rPr>
          <w:bCs/>
        </w:rPr>
        <w:t>Лица с инвалидностью</w:t>
      </w:r>
      <w:r w:rsidRPr="00B100FF">
        <w:rPr>
          <w:rStyle w:val="ab"/>
          <w:b w:val="0"/>
          <w:bCs/>
        </w:rPr>
        <w:endnoteReference w:id="115"/>
      </w:r>
    </w:p>
    <w:p w14:paraId="4DE9D3F6" w14:textId="77777777" w:rsidR="00B100FF" w:rsidRPr="00A55A70" w:rsidRDefault="00B100FF" w:rsidP="00B100FF">
      <w:pPr>
        <w:pStyle w:val="SingleTxtG"/>
      </w:pPr>
      <w:r>
        <w:t>101.</w:t>
      </w:r>
      <w:r>
        <w:tab/>
        <w:t>Страновая группа ООН заявила об отсутствии законов, содержащих прямой запрет на дискриминацию в отношении лиц с физическими или умственными расстройствами. Лица с инвалидностью сталкиваются с дискриминацией при устройстве на работу и получении услуг. В законодательстве не предусмотрено конкретных положений о соблюдении норм доступности при строительстве сооружений</w:t>
      </w:r>
      <w:r w:rsidRPr="008A4607">
        <w:rPr>
          <w:rStyle w:val="ab"/>
        </w:rPr>
        <w:endnoteReference w:id="116"/>
      </w:r>
      <w:r>
        <w:t>.</w:t>
      </w:r>
    </w:p>
    <w:p w14:paraId="1E756E2B" w14:textId="7E24B459" w:rsidR="00B100FF" w:rsidRPr="00A55A70" w:rsidRDefault="00B100FF" w:rsidP="00B100FF">
      <w:pPr>
        <w:pStyle w:val="SingleTxtG"/>
      </w:pPr>
      <w:r>
        <w:lastRenderedPageBreak/>
        <w:t>102.</w:t>
      </w:r>
      <w:r>
        <w:tab/>
        <w:t xml:space="preserve">Комитет по правам ребенка заявил о том, что дети с инвалидностью </w:t>
      </w:r>
      <w:r w:rsidR="003551CA">
        <w:br/>
      </w:r>
      <w:r>
        <w:t>по-прежнему сталкиваются с дискриминацией и не обеспечивается их реальная интеграция во все сферы социальной жизни, включая систему образования, особенно в отдаленных районах государства</w:t>
      </w:r>
      <w:r w:rsidRPr="008A4607">
        <w:rPr>
          <w:rStyle w:val="ab"/>
        </w:rPr>
        <w:endnoteReference w:id="117"/>
      </w:r>
      <w:r>
        <w:t>.</w:t>
      </w:r>
    </w:p>
    <w:p w14:paraId="1A102D62" w14:textId="77777777" w:rsidR="00B100FF" w:rsidRPr="00A55A70" w:rsidRDefault="00B100FF" w:rsidP="00B100FF">
      <w:pPr>
        <w:pStyle w:val="SingleTxtG"/>
      </w:pPr>
      <w:r>
        <w:t>103.</w:t>
      </w:r>
      <w:r>
        <w:tab/>
        <w:t>Тот же Комитет настоятельно призвал государство избрать правозащитный подход к проблеме инвалидности и разработать всеобъемлющую стратегию интеграции детей с инвалидностью</w:t>
      </w:r>
      <w:r w:rsidRPr="008A4607">
        <w:rPr>
          <w:rStyle w:val="ab"/>
        </w:rPr>
        <w:endnoteReference w:id="118"/>
      </w:r>
      <w:r>
        <w:t>.</w:t>
      </w:r>
    </w:p>
    <w:p w14:paraId="79A9C032" w14:textId="77777777" w:rsidR="00B100FF" w:rsidRPr="00A55A70" w:rsidRDefault="00B100FF" w:rsidP="00B100FF">
      <w:pPr>
        <w:pStyle w:val="SingleTxtG"/>
      </w:pPr>
      <w:r>
        <w:t>104.</w:t>
      </w:r>
      <w:r>
        <w:tab/>
        <w:t>Комитет рекомендовал государству активизировать усилия по созданию необходимой законодательной базы и проведению политики в целях эффективной защиты прав детей с инвалидностью, включая принятие законопроекта о специальном образовании и законопроекта о начальном образовании, а также проекта политики в отношении лиц с инвалидностью</w:t>
      </w:r>
      <w:r w:rsidRPr="008A4607">
        <w:rPr>
          <w:rStyle w:val="ab"/>
        </w:rPr>
        <w:endnoteReference w:id="119"/>
      </w:r>
      <w:r>
        <w:t>.</w:t>
      </w:r>
    </w:p>
    <w:p w14:paraId="003F35D4" w14:textId="77777777" w:rsidR="00B100FF" w:rsidRPr="00A55A70" w:rsidRDefault="00B100FF" w:rsidP="00B100FF">
      <w:pPr>
        <w:pStyle w:val="SingleTxtG"/>
      </w:pPr>
      <w:r>
        <w:t>105.</w:t>
      </w:r>
      <w:r>
        <w:tab/>
        <w:t>Комитет также рекомендовал государству обеспечить, чтобы в школах предоставлялось инклюзивное образование, чтобы школы и учреждения по уходу были доступны и надлежащим образом укомплектованы кадрами и получали соответствующее финансирование, а также обеспечить подготовку специалистов, работающих с детьми с инвалидностью, в частности учителей, работников социальной сферы, работников, оказывающих медико-санитарную и психиатрическую помощь, и сотрудников учреждений по уходу</w:t>
      </w:r>
      <w:r w:rsidRPr="008A4607">
        <w:rPr>
          <w:rStyle w:val="ab"/>
        </w:rPr>
        <w:endnoteReference w:id="120"/>
      </w:r>
      <w:r>
        <w:t>.</w:t>
      </w:r>
    </w:p>
    <w:p w14:paraId="1400BCA4" w14:textId="77777777" w:rsidR="00B100FF" w:rsidRPr="00A55A70" w:rsidRDefault="00B100FF" w:rsidP="00B100FF">
      <w:pPr>
        <w:pStyle w:val="SingleTxtG"/>
      </w:pPr>
      <w:r>
        <w:t>106.</w:t>
      </w:r>
      <w:r>
        <w:tab/>
        <w:t>Комитет далее рекомендовал государству проводить периодический обзор решений о помещении детей с инвалидностью в систему альтернативного ухода и контролировать качество осуществляемого за ними ухода, в том числе путем создания доступных каналов сообщения о случаях плохого обращения с детьми, отслеживания таких случаев и их устранения</w:t>
      </w:r>
      <w:r w:rsidRPr="008A4607">
        <w:rPr>
          <w:rStyle w:val="ab"/>
        </w:rPr>
        <w:endnoteReference w:id="121"/>
      </w:r>
      <w:r>
        <w:t>.</w:t>
      </w:r>
    </w:p>
    <w:p w14:paraId="7B51A303" w14:textId="77777777" w:rsidR="00B100FF" w:rsidRPr="00A55A70" w:rsidRDefault="00B100FF" w:rsidP="00B100FF">
      <w:pPr>
        <w:pStyle w:val="SingleTxtG"/>
      </w:pPr>
      <w:r>
        <w:t>107.</w:t>
      </w:r>
      <w:r>
        <w:tab/>
        <w:t>Комитет также рекомендовал государству принимать все необходимые меры для обеспечения того, чтобы дети</w:t>
      </w:r>
      <w:r w:rsidRPr="00E32146">
        <w:t xml:space="preserve"> </w:t>
      </w:r>
      <w:r>
        <w:t>с инвалидностью были полностью интегрированы во все сферы общественной жизни, включая школы и участие в спортивных и рекреационных мероприятиях, а также обеспечивать доступность для детей с инвалидностью соответствующих объектов и других публичных мест</w:t>
      </w:r>
      <w:r w:rsidRPr="008A4607">
        <w:rPr>
          <w:rStyle w:val="ab"/>
        </w:rPr>
        <w:endnoteReference w:id="122"/>
      </w:r>
      <w:r>
        <w:t>.</w:t>
      </w:r>
    </w:p>
    <w:p w14:paraId="05E7A495" w14:textId="77777777" w:rsidR="00B100FF" w:rsidRPr="00A55A70" w:rsidRDefault="00B100FF" w:rsidP="00B100FF">
      <w:pPr>
        <w:pStyle w:val="SingleTxtG"/>
      </w:pPr>
      <w:r>
        <w:t>108.</w:t>
      </w:r>
      <w:r>
        <w:tab/>
        <w:t>Комитет далее рекомендовал государству проводить информационно-просветительские кампании, ориентированные на государственных служащих, общественность и семьи, для борьбы со стигматизацией и предрассудками в отношении детей с инвалидностью</w:t>
      </w:r>
      <w:r w:rsidRPr="008A4607">
        <w:rPr>
          <w:rStyle w:val="ab"/>
        </w:rPr>
        <w:endnoteReference w:id="123"/>
      </w:r>
      <w:r>
        <w:t>.</w:t>
      </w:r>
    </w:p>
    <w:p w14:paraId="22A1A2CD" w14:textId="77777777" w:rsidR="00B100FF" w:rsidRPr="00A55A70" w:rsidRDefault="00B100FF" w:rsidP="00B100FF">
      <w:pPr>
        <w:pStyle w:val="H23G"/>
      </w:pPr>
      <w:r>
        <w:tab/>
        <w:t>4.</w:t>
      </w:r>
      <w:r>
        <w:tab/>
      </w:r>
      <w:r>
        <w:rPr>
          <w:bCs/>
        </w:rPr>
        <w:t>Коренные народы</w:t>
      </w:r>
      <w:r w:rsidRPr="00B100FF">
        <w:rPr>
          <w:rStyle w:val="ab"/>
          <w:b w:val="0"/>
          <w:bCs/>
        </w:rPr>
        <w:endnoteReference w:id="124"/>
      </w:r>
    </w:p>
    <w:p w14:paraId="2DEF4E91" w14:textId="77777777" w:rsidR="00B100FF" w:rsidRPr="00A55A70" w:rsidRDefault="00B100FF" w:rsidP="00B100FF">
      <w:pPr>
        <w:pStyle w:val="SingleTxtG"/>
      </w:pPr>
      <w:r>
        <w:t>109.</w:t>
      </w:r>
      <w:r>
        <w:tab/>
        <w:t>Страновая группа Организации Объединенных Наций заявила, что жители отдаленных районов Суринама по-прежнему подвержены негативному воздействию деятельности по добыче полезных ископаемых на окружающую среду. Коренные и племенные народы постоянно жалуются на то, что их права на земли, на которых расположены их деревни, не соблюдаются ни правительством, ни частным сектором. По-прежнему поступают жалобы на то, что правительство выдает разрешения предприятиям частного сектора на добычу полезных ископаемых и вырубку лесов. Правительство еще не предприняло мер по созданию официальной платформы для обеспечения соблюдения и защиты прав коренных и племенных народов</w:t>
      </w:r>
      <w:r w:rsidRPr="008A4607">
        <w:rPr>
          <w:rStyle w:val="ab"/>
        </w:rPr>
        <w:endnoteReference w:id="125"/>
      </w:r>
      <w:r>
        <w:t>.</w:t>
      </w:r>
    </w:p>
    <w:p w14:paraId="50A5DE13" w14:textId="2A102F47" w:rsidR="00B100FF" w:rsidRPr="003551CA" w:rsidRDefault="00B100FF" w:rsidP="00B100FF">
      <w:pPr>
        <w:pStyle w:val="SingleTxtG"/>
      </w:pPr>
      <w:r>
        <w:t>110.</w:t>
      </w:r>
      <w:r>
        <w:tab/>
        <w:t>Страновая группа рекомендовала правительству уважать и обеспечивать права коренных народов, связанные с сохранением их земель, культуры и ресурсов, а также принимать меры по снижению негативного воздействия горнодобывающей деятельности на окружающую среду и права коренных народов и их земли в соответствии с международными стандартами. Она также рекомендовала правительству обеспечить оперативное и полное выполнение решений Межамериканского суда по правам человека в отношении общины Мойвана и народа сарамака</w:t>
      </w:r>
      <w:r w:rsidRPr="008A4607">
        <w:rPr>
          <w:rStyle w:val="ab"/>
        </w:rPr>
        <w:endnoteReference w:id="126"/>
      </w:r>
      <w:r w:rsidR="003551CA" w:rsidRPr="003551CA">
        <w:t>.</w:t>
      </w:r>
    </w:p>
    <w:p w14:paraId="06457119" w14:textId="77777777" w:rsidR="00B100FF" w:rsidRPr="00A55A70" w:rsidRDefault="00B100FF" w:rsidP="00B100FF">
      <w:pPr>
        <w:pStyle w:val="SingleTxtG"/>
      </w:pPr>
      <w:r>
        <w:t>111.</w:t>
      </w:r>
      <w:r>
        <w:tab/>
        <w:t xml:space="preserve">Комитет по ликвидации дискриминации в отношении женщин выразил обеспокоенность в связи с нарушениями земельных прав женщин из числа коренных народов и народов, ведущих племенной образ жизни, несмотря на три постановления, </w:t>
      </w:r>
      <w:r>
        <w:lastRenderedPageBreak/>
        <w:t>вынесенные Межамериканским судом по правам человека в 2005, 2007 и 2015 годах, в которых было заявлено, что государство-участник нарушает права коренного населения на землю и доступ к правосудию. Комитет далее выразил сожаление по поводу того, что сельские женщины, женщины-мароны и женщины из числа коренных народов исключены из процессов принятия решений, в частности в вопросах землепользования</w:t>
      </w:r>
      <w:r w:rsidRPr="008A4607">
        <w:rPr>
          <w:rStyle w:val="ab"/>
        </w:rPr>
        <w:endnoteReference w:id="127"/>
      </w:r>
      <w:r>
        <w:t>.</w:t>
      </w:r>
    </w:p>
    <w:p w14:paraId="311078AA" w14:textId="77777777" w:rsidR="00B100FF" w:rsidRPr="00A55A70" w:rsidRDefault="00B100FF" w:rsidP="00B100FF">
      <w:pPr>
        <w:pStyle w:val="H23G"/>
      </w:pPr>
      <w:r>
        <w:tab/>
        <w:t>5.</w:t>
      </w:r>
      <w:r>
        <w:tab/>
      </w:r>
      <w:r>
        <w:rPr>
          <w:bCs/>
        </w:rPr>
        <w:t>Беженцы и просители убежища</w:t>
      </w:r>
    </w:p>
    <w:p w14:paraId="5FF1EE84" w14:textId="77777777" w:rsidR="00B100FF" w:rsidRPr="00A55A70" w:rsidRDefault="00B100FF" w:rsidP="00B100FF">
      <w:pPr>
        <w:pStyle w:val="SingleTxtG"/>
      </w:pPr>
      <w:r>
        <w:t>112.</w:t>
      </w:r>
      <w:r>
        <w:tab/>
        <w:t>Комитет по ликвидации дискриминации в отношении женщин отметил, что в 2016 и 2017 годах в государстве-участнике произошло резкое увеличение числа зарегистрированных лиц, ищущих убежища, и выразил обеспокоенность в связи с отсутствием национальной политики, регулирующей предоставление беженцам защиты или процедуры предоставления убежища в государстве-участнике, а также в связи с отсутствием долгосрочных мер по защите женщин из числа беженцев и просителей убежища, которые являются жертвами торговли людьми или гендерного насилия</w:t>
      </w:r>
      <w:r w:rsidRPr="008A4607">
        <w:rPr>
          <w:rStyle w:val="ab"/>
        </w:rPr>
        <w:endnoteReference w:id="128"/>
      </w:r>
      <w:r>
        <w:t>.</w:t>
      </w:r>
    </w:p>
    <w:p w14:paraId="5F583935" w14:textId="77777777" w:rsidR="00B100FF" w:rsidRPr="00A55A70" w:rsidRDefault="00B100FF" w:rsidP="00B100FF">
      <w:pPr>
        <w:pStyle w:val="SingleTxtG"/>
      </w:pPr>
      <w:r>
        <w:t>113.</w:t>
      </w:r>
      <w:r>
        <w:tab/>
        <w:t>УВКБ рекомендовало правительству разработать, принять и применять законодательство в отношении беженцев, соответствующее международным стандартам, которое предусматривает проведение справедливых и действенных процедур определения статуса беженца и гарантирует соблюдение прав всех лиц, признанных беженцами в Суринаме</w:t>
      </w:r>
      <w:r w:rsidRPr="008A4607">
        <w:rPr>
          <w:rStyle w:val="ab"/>
        </w:rPr>
        <w:endnoteReference w:id="129"/>
      </w:r>
      <w:r>
        <w:t>.</w:t>
      </w:r>
    </w:p>
    <w:p w14:paraId="56979EBD" w14:textId="77777777" w:rsidR="00B100FF" w:rsidRPr="00A55A70" w:rsidRDefault="00B100FF" w:rsidP="00B100FF">
      <w:pPr>
        <w:pStyle w:val="SingleTxtG"/>
      </w:pPr>
      <w:r>
        <w:t>114.</w:t>
      </w:r>
      <w:r>
        <w:tab/>
        <w:t>УВКБ также рекомендовало правительству пересмотреть национальное законодательство и принять необходимые меры для приведения национального законодательства в соответствие с Конвенцией 1951 года о статусе беженцев</w:t>
      </w:r>
      <w:r w:rsidRPr="008A4607">
        <w:rPr>
          <w:rStyle w:val="ab"/>
        </w:rPr>
        <w:endnoteReference w:id="130"/>
      </w:r>
      <w:r>
        <w:t>.</w:t>
      </w:r>
    </w:p>
    <w:p w14:paraId="11B19580" w14:textId="77777777" w:rsidR="00B100FF" w:rsidRPr="00A55A70" w:rsidRDefault="00B100FF" w:rsidP="00B100FF">
      <w:pPr>
        <w:pStyle w:val="SingleTxtG"/>
      </w:pPr>
      <w:r>
        <w:t>115.</w:t>
      </w:r>
      <w:r>
        <w:tab/>
        <w:t>УВКБ далее рекомендовало правительству облегчать предоставление полного и открытого доступа к процедурам предоставления убежища для лиц, опасающихся возвращения в страну происхождения, и придерживаться принципа невыдворения в интересах всех лиц, нуждающихся в международной защите</w:t>
      </w:r>
      <w:r w:rsidRPr="008A4607">
        <w:rPr>
          <w:rStyle w:val="ab"/>
        </w:rPr>
        <w:endnoteReference w:id="131"/>
      </w:r>
      <w:r>
        <w:t>.</w:t>
      </w:r>
    </w:p>
    <w:p w14:paraId="64C104FF" w14:textId="77777777" w:rsidR="00B100FF" w:rsidRPr="00A55A70" w:rsidRDefault="00B100FF" w:rsidP="00B100FF">
      <w:pPr>
        <w:pStyle w:val="SingleTxtG"/>
      </w:pPr>
      <w:r>
        <w:t>116.</w:t>
      </w:r>
      <w:r>
        <w:tab/>
        <w:t>УВКБ также рекомендовало правительству активизировать усилия по выявлению потребностей жертв торговли людьми в международной защите и облегчать доступ к процедурам предоставления убежища посредством механизма направления жертв в соответствующие инстанции в пунктах въезда в страну и в местах содержания под стражей</w:t>
      </w:r>
      <w:r w:rsidRPr="008A4607">
        <w:rPr>
          <w:rStyle w:val="ab"/>
        </w:rPr>
        <w:endnoteReference w:id="132"/>
      </w:r>
      <w:r>
        <w:t>.</w:t>
      </w:r>
    </w:p>
    <w:p w14:paraId="5BE99F00" w14:textId="77777777" w:rsidR="00B100FF" w:rsidRPr="00A55A70" w:rsidRDefault="00B100FF" w:rsidP="00B100FF">
      <w:pPr>
        <w:pStyle w:val="SingleTxtG"/>
      </w:pPr>
      <w:r>
        <w:t>117.</w:t>
      </w:r>
      <w:r>
        <w:tab/>
        <w:t>УВКБ далее рекомендовало правительству обеспечить выдачу документов или других удостоверений личности для беженцев</w:t>
      </w:r>
      <w:r w:rsidRPr="008A4607">
        <w:rPr>
          <w:rStyle w:val="ab"/>
        </w:rPr>
        <w:endnoteReference w:id="133"/>
      </w:r>
      <w:r>
        <w:t>.</w:t>
      </w:r>
    </w:p>
    <w:p w14:paraId="2C85A036" w14:textId="77777777" w:rsidR="00B100FF" w:rsidRPr="00A55A70" w:rsidRDefault="00B100FF" w:rsidP="00B100FF">
      <w:pPr>
        <w:pStyle w:val="SingleTxtG"/>
      </w:pPr>
      <w:r>
        <w:t>118.</w:t>
      </w:r>
      <w:r>
        <w:tab/>
        <w:t>Комитет по ликвидации дискриминации в отношении женщин выразил обеспокоенность тем, что женщины из числа беженцев и просителей убежища в государстве-участнике сталкиваются с трудностями в получении доступа к образованию, здравоохранению, занятости, возможностям получения дохода и финансовым услугам</w:t>
      </w:r>
      <w:r w:rsidRPr="008A4607">
        <w:rPr>
          <w:rStyle w:val="ab"/>
        </w:rPr>
        <w:endnoteReference w:id="134"/>
      </w:r>
      <w:r>
        <w:t>.</w:t>
      </w:r>
    </w:p>
    <w:p w14:paraId="1D600FF6" w14:textId="77777777" w:rsidR="00B100FF" w:rsidRPr="00B100FF" w:rsidRDefault="00B100FF" w:rsidP="00B100FF">
      <w:pPr>
        <w:pStyle w:val="H23G"/>
      </w:pPr>
      <w:r>
        <w:tab/>
        <w:t>6.</w:t>
      </w:r>
      <w:r>
        <w:tab/>
      </w:r>
      <w:r>
        <w:rPr>
          <w:bCs/>
        </w:rPr>
        <w:t>Лица без гражданства</w:t>
      </w:r>
      <w:r w:rsidRPr="00B100FF">
        <w:rPr>
          <w:bCs/>
        </w:rPr>
        <w:t xml:space="preserve"> </w:t>
      </w:r>
    </w:p>
    <w:p w14:paraId="095109C4" w14:textId="77777777" w:rsidR="00B100FF" w:rsidRPr="00A55A70" w:rsidRDefault="00B100FF" w:rsidP="00B100FF">
      <w:pPr>
        <w:pStyle w:val="SingleTxtG"/>
      </w:pPr>
      <w:r>
        <w:t>119.</w:t>
      </w:r>
      <w:r>
        <w:tab/>
        <w:t>УВКБ рекомендовало правительству учредить процедуры определения статуса безгражданства</w:t>
      </w:r>
      <w:r w:rsidRPr="008A4607">
        <w:rPr>
          <w:rStyle w:val="ab"/>
        </w:rPr>
        <w:endnoteReference w:id="135"/>
      </w:r>
      <w:r>
        <w:t>.</w:t>
      </w:r>
    </w:p>
    <w:p w14:paraId="04F05CEE" w14:textId="77777777" w:rsidR="00B100FF" w:rsidRPr="00A55A70" w:rsidRDefault="00B100FF" w:rsidP="00B100FF">
      <w:pPr>
        <w:pStyle w:val="SingleTxtG"/>
      </w:pPr>
      <w:r>
        <w:t>120.</w:t>
      </w:r>
      <w:r>
        <w:tab/>
        <w:t>Комитет по правам ребенка рекомендовал государству продолжать наращивать усилия по обеспечению того, чтобы все дети, рожденные на его территории, были зарегистрированы и получали официальные свидетельства о рождении, в том числе путем упорядочения процесса регистрации рождения в отдаленных районах государства посредством, в частности, местных отделений регистрации актов гражданского состояния, мобильных групп и информационно-просветительских программ</w:t>
      </w:r>
      <w:r w:rsidRPr="008A4607">
        <w:rPr>
          <w:rStyle w:val="ab"/>
        </w:rPr>
        <w:endnoteReference w:id="136"/>
      </w:r>
      <w:r>
        <w:t>.</w:t>
      </w:r>
    </w:p>
    <w:p w14:paraId="1429B6D5" w14:textId="3DB52FEE" w:rsidR="00B100FF" w:rsidRDefault="00B100FF" w:rsidP="005F70A5">
      <w:pPr>
        <w:pStyle w:val="SingleTxtG"/>
        <w:pageBreakBefore/>
        <w:spacing w:after="0"/>
      </w:pPr>
      <w:r>
        <w:lastRenderedPageBreak/>
        <w:t>121.</w:t>
      </w:r>
      <w:r>
        <w:tab/>
        <w:t>Этот же Комитет рекомендовал государству проводить информационно-просветительские программы и кампании о важности регистрации рождения всех детей, включая детей, рожденных трудящимися-мигрантами с легальным и нелегальным статусом</w:t>
      </w:r>
      <w:r w:rsidRPr="008A4607">
        <w:rPr>
          <w:rStyle w:val="ab"/>
        </w:rPr>
        <w:endnoteReference w:id="137"/>
      </w:r>
      <w:r>
        <w:t>.</w:t>
      </w:r>
    </w:p>
    <w:sectPr w:rsidR="00B100FF" w:rsidSect="00B100F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A63C5" w14:textId="77777777" w:rsidR="00B100FF" w:rsidRPr="00A312BC" w:rsidRDefault="00B100FF" w:rsidP="00A312BC"/>
  </w:endnote>
  <w:endnote w:type="continuationSeparator" w:id="0">
    <w:p w14:paraId="7E7CF74C" w14:textId="77777777" w:rsidR="00B100FF" w:rsidRPr="00A312BC" w:rsidRDefault="00B100FF" w:rsidP="00A312BC"/>
  </w:endnote>
  <w:endnote w:id="1">
    <w:p w14:paraId="1F57CED7" w14:textId="6AFCA17D" w:rsidR="00B100FF" w:rsidRPr="00B100FF" w:rsidRDefault="00B100FF" w:rsidP="00B100FF">
      <w:pPr>
        <w:pStyle w:val="H4G"/>
        <w:spacing w:before="0"/>
        <w:rPr>
          <w:lang w:val="en-US"/>
        </w:rPr>
      </w:pPr>
      <w:r>
        <w:rPr>
          <w:iCs/>
        </w:rPr>
        <w:t>Примечания</w:t>
      </w:r>
    </w:p>
    <w:p w14:paraId="06A6D032" w14:textId="1AFF031F"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 xml:space="preserve">Tables containing information on the scope of international obligations and cooperation with international human rights mechanisms and bodies for Suriname will be available at </w:t>
      </w:r>
      <w:hyperlink r:id="rId1" w:history="1">
        <w:r w:rsidR="008D36D8" w:rsidRPr="00A30319">
          <w:rPr>
            <w:rStyle w:val="af1"/>
            <w:lang w:val="en-US"/>
          </w:rPr>
          <w:t>www.ohchr.org/EN/HRBodies/UPR/Pages/SRindex.aspx</w:t>
        </w:r>
      </w:hyperlink>
      <w:r w:rsidRPr="00A55A70">
        <w:rPr>
          <w:lang w:val="en-US"/>
        </w:rPr>
        <w:t>.</w:t>
      </w:r>
    </w:p>
  </w:endnote>
  <w:endnote w:id="2">
    <w:p w14:paraId="488DC995" w14:textId="442785FE"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 xml:space="preserve">For relevant recommendations, see A/HRC/33/4, paras. 133.1–133.22, 133.39–133.41, 134.1, </w:t>
      </w:r>
      <w:r w:rsidR="008D36D8">
        <w:rPr>
          <w:lang w:val="en-US"/>
        </w:rPr>
        <w:br/>
      </w:r>
      <w:r w:rsidRPr="00A55A70">
        <w:rPr>
          <w:lang w:val="en-US"/>
        </w:rPr>
        <w:t>135.1–135.21, 135.23 and 135.26–135.31.</w:t>
      </w:r>
    </w:p>
  </w:endnote>
  <w:endnote w:id="3">
    <w:p w14:paraId="027B348C" w14:textId="77777777" w:rsidR="00B100FF" w:rsidRPr="00B100FF" w:rsidRDefault="00B100FF" w:rsidP="00B100FF">
      <w:pPr>
        <w:pStyle w:val="af"/>
        <w:rPr>
          <w:lang w:val="es-ES"/>
        </w:rPr>
      </w:pPr>
      <w:r w:rsidRPr="00A55A70">
        <w:rPr>
          <w:lang w:val="en-US"/>
        </w:rPr>
        <w:tab/>
      </w:r>
      <w:r w:rsidRPr="000B3B0C">
        <w:rPr>
          <w:rStyle w:val="ab"/>
        </w:rPr>
        <w:endnoteRef/>
      </w:r>
      <w:r w:rsidRPr="00A55A70">
        <w:rPr>
          <w:lang w:val="en-US"/>
        </w:rPr>
        <w:tab/>
        <w:t xml:space="preserve">United Nations country team submission for the universal periodic review of Suriname, p. 1. See also CEDAW/C/SUR/CO/4-6, paras. 45–61; and CRC/C/SUR/CO/3-4, para. </w:t>
      </w:r>
      <w:r w:rsidRPr="00B100FF">
        <w:rPr>
          <w:lang w:val="es-ES"/>
        </w:rPr>
        <w:t>44.</w:t>
      </w:r>
    </w:p>
  </w:endnote>
  <w:endnote w:id="4">
    <w:p w14:paraId="4B9B830D"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CRC/C/SUR/CO/3-4, para. 43</w:t>
      </w:r>
    </w:p>
  </w:endnote>
  <w:endnote w:id="5">
    <w:p w14:paraId="27FF594D"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CEDAW/C/SUR/CO/4-6, para. </w:t>
      </w:r>
      <w:r w:rsidRPr="00A55A70">
        <w:rPr>
          <w:lang w:val="en-US"/>
        </w:rPr>
        <w:t>45 (c).</w:t>
      </w:r>
    </w:p>
  </w:endnote>
  <w:endnote w:id="6">
    <w:p w14:paraId="0A11A5B5" w14:textId="3B4C30EC" w:rsidR="00B100FF" w:rsidRPr="00B100FF" w:rsidRDefault="00B100FF" w:rsidP="00B100FF">
      <w:pPr>
        <w:pStyle w:val="af"/>
        <w:rPr>
          <w:lang w:val="es-ES"/>
        </w:rPr>
      </w:pPr>
      <w:r w:rsidRPr="00A55A70">
        <w:rPr>
          <w:lang w:val="en-US"/>
        </w:rPr>
        <w:tab/>
      </w:r>
      <w:r w:rsidRPr="000B3B0C">
        <w:rPr>
          <w:rStyle w:val="ab"/>
        </w:rPr>
        <w:endnoteRef/>
      </w:r>
      <w:r w:rsidRPr="00A55A70">
        <w:rPr>
          <w:lang w:val="en-US"/>
        </w:rPr>
        <w:tab/>
        <w:t xml:space="preserve">UNHCR submission for the universal periodic review of Suriname, p. 4. </w:t>
      </w:r>
      <w:r w:rsidRPr="00B100FF">
        <w:rPr>
          <w:lang w:val="es-ES"/>
        </w:rPr>
        <w:t>See also CRC/C/SUR/CO/</w:t>
      </w:r>
      <w:r w:rsidR="008D36D8">
        <w:rPr>
          <w:lang w:val="es-ES"/>
        </w:rPr>
        <w:br/>
      </w:r>
      <w:r w:rsidRPr="00B100FF">
        <w:rPr>
          <w:lang w:val="es-ES"/>
        </w:rPr>
        <w:t>3-4, para. 17.</w:t>
      </w:r>
    </w:p>
  </w:endnote>
  <w:endnote w:id="7">
    <w:p w14:paraId="620ED636"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CRC/C/SUR/CO/3-4, para. 38 (f).</w:t>
      </w:r>
    </w:p>
  </w:endnote>
  <w:endnote w:id="8">
    <w:p w14:paraId="6E3CBE11" w14:textId="77777777" w:rsidR="00B100FF" w:rsidRPr="00B100FF" w:rsidRDefault="00B100FF" w:rsidP="00B100FF">
      <w:pPr>
        <w:pStyle w:val="af"/>
        <w:rPr>
          <w:lang w:val="en-US"/>
        </w:rPr>
      </w:pPr>
      <w:r w:rsidRPr="00B100FF">
        <w:rPr>
          <w:lang w:val="es-ES"/>
        </w:rPr>
        <w:tab/>
      </w:r>
      <w:r w:rsidRPr="000B3B0C">
        <w:rPr>
          <w:rStyle w:val="ab"/>
        </w:rPr>
        <w:endnoteRef/>
      </w:r>
      <w:r w:rsidRPr="00A55A70">
        <w:rPr>
          <w:lang w:val="en-US"/>
        </w:rPr>
        <w:tab/>
        <w:t>Ibid., para. 25.</w:t>
      </w:r>
    </w:p>
  </w:endnote>
  <w:endnote w:id="9">
    <w:p w14:paraId="2B5473F5"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UNESCO submission for the universal periodic review of Suriname, para. 9.</w:t>
      </w:r>
    </w:p>
  </w:endnote>
  <w:endnote w:id="10">
    <w:p w14:paraId="61F1597D"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 para. 14.</w:t>
      </w:r>
    </w:p>
  </w:endnote>
  <w:endnote w:id="11">
    <w:p w14:paraId="0303084D"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2</w:t>
      </w:r>
    </w:p>
  </w:endnote>
  <w:endnote w:id="12">
    <w:p w14:paraId="26621710"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 pp. 1–2.</w:t>
      </w:r>
    </w:p>
  </w:endnote>
  <w:endnote w:id="13">
    <w:p w14:paraId="1C1B9749"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relevant recommendations, see A/HRC/33/4, paras. 133.23–133.24, 133.27–133.37, 135.22 and 135.24–135.25.</w:t>
      </w:r>
    </w:p>
  </w:endnote>
  <w:endnote w:id="14">
    <w:p w14:paraId="69878729"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CEDAW/C/SUR/CO/4-6, paras. 16–17. See also CRC/C/SUR/CO/3-4, para. 11 (a); and the United Nations country team submission, p. 2.</w:t>
      </w:r>
    </w:p>
  </w:endnote>
  <w:endnote w:id="15">
    <w:p w14:paraId="0F592037"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relevant recommendations, see A/HRC/33/4, paras. 133.38, 133.55–133.61 and 135.32–135.33.</w:t>
      </w:r>
    </w:p>
  </w:endnote>
  <w:endnote w:id="16">
    <w:p w14:paraId="69359C2B" w14:textId="77777777" w:rsidR="00B100FF" w:rsidRPr="00B100FF" w:rsidRDefault="00B100FF" w:rsidP="00B100FF">
      <w:pPr>
        <w:pStyle w:val="af"/>
        <w:rPr>
          <w:lang w:val="es-ES"/>
        </w:rPr>
      </w:pPr>
      <w:r w:rsidRPr="00A55A70">
        <w:rPr>
          <w:lang w:val="en-US"/>
        </w:rPr>
        <w:tab/>
      </w:r>
      <w:r w:rsidRPr="000B3B0C">
        <w:rPr>
          <w:rStyle w:val="ab"/>
        </w:rPr>
        <w:endnoteRef/>
      </w:r>
      <w:r w:rsidRPr="00A55A70">
        <w:rPr>
          <w:lang w:val="en-US"/>
        </w:rPr>
        <w:tab/>
        <w:t xml:space="preserve">CEDAW/C/SUR/CO/4-6, para. </w:t>
      </w:r>
      <w:r w:rsidRPr="00B100FF">
        <w:rPr>
          <w:lang w:val="es-ES"/>
        </w:rPr>
        <w:t>11 (c).</w:t>
      </w:r>
    </w:p>
  </w:endnote>
  <w:endnote w:id="17">
    <w:p w14:paraId="48B514AF"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CRC/C/SUR/CO/3-4, para. </w:t>
      </w:r>
      <w:r w:rsidRPr="00A55A70">
        <w:rPr>
          <w:lang w:val="en-US"/>
        </w:rPr>
        <w:t>14.</w:t>
      </w:r>
    </w:p>
  </w:endnote>
  <w:endnote w:id="18">
    <w:p w14:paraId="65E7491A"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3.</w:t>
      </w:r>
    </w:p>
  </w:endnote>
  <w:endnote w:id="19">
    <w:p w14:paraId="74EC47E1" w14:textId="77777777" w:rsidR="00B100FF" w:rsidRPr="00B100FF" w:rsidRDefault="00B100FF" w:rsidP="00B100FF">
      <w:pPr>
        <w:pStyle w:val="af"/>
        <w:rPr>
          <w:lang w:val="en-US"/>
        </w:rPr>
      </w:pPr>
      <w:r w:rsidRPr="00A55A70">
        <w:rPr>
          <w:lang w:val="en-US"/>
        </w:rPr>
        <w:tab/>
      </w:r>
      <w:r w:rsidRPr="000B3B0C">
        <w:rPr>
          <w:rStyle w:val="ab"/>
        </w:rPr>
        <w:endnoteRef/>
      </w:r>
      <w:r w:rsidRPr="00B100FF">
        <w:rPr>
          <w:lang w:val="es-ES"/>
        </w:rPr>
        <w:tab/>
        <w:t xml:space="preserve">CEDAW/C/SUR/CO/4-6, para. </w:t>
      </w:r>
      <w:r w:rsidRPr="00A55A70">
        <w:rPr>
          <w:lang w:val="en-US"/>
        </w:rPr>
        <w:t>50.</w:t>
      </w:r>
    </w:p>
  </w:endnote>
  <w:endnote w:id="20">
    <w:p w14:paraId="278E6FFC"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relevant recommendations, see A/HRC/33/4, paras. 133.102 and 135.43.</w:t>
      </w:r>
    </w:p>
  </w:endnote>
  <w:endnote w:id="21">
    <w:p w14:paraId="1E6AEA18" w14:textId="77777777" w:rsidR="00B100FF" w:rsidRPr="00B100FF" w:rsidRDefault="00B100FF" w:rsidP="00B100FF">
      <w:pPr>
        <w:pStyle w:val="af"/>
        <w:rPr>
          <w:lang w:val="es-ES"/>
        </w:rPr>
      </w:pPr>
      <w:r w:rsidRPr="00A55A70">
        <w:rPr>
          <w:lang w:val="en-US"/>
        </w:rPr>
        <w:tab/>
      </w:r>
      <w:r w:rsidRPr="000B3B0C">
        <w:rPr>
          <w:rStyle w:val="ab"/>
        </w:rPr>
        <w:endnoteRef/>
      </w:r>
      <w:r w:rsidRPr="00A55A70">
        <w:rPr>
          <w:lang w:val="en-US"/>
        </w:rPr>
        <w:tab/>
        <w:t xml:space="preserve">CRC/C/SUR/CO/3-4, para. </w:t>
      </w:r>
      <w:r w:rsidRPr="00B100FF">
        <w:rPr>
          <w:lang w:val="es-ES"/>
        </w:rPr>
        <w:t>9 (d).</w:t>
      </w:r>
    </w:p>
  </w:endnote>
  <w:endnote w:id="22">
    <w:p w14:paraId="06A36281"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CEDAW/C/SUR/CO/4-6, para. </w:t>
      </w:r>
      <w:r w:rsidRPr="00A55A70">
        <w:rPr>
          <w:lang w:val="en-US"/>
        </w:rPr>
        <w:t>19.</w:t>
      </w:r>
    </w:p>
  </w:endnote>
  <w:endnote w:id="23">
    <w:p w14:paraId="4506A2CA"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 para. 20.</w:t>
      </w:r>
    </w:p>
  </w:endnote>
  <w:endnote w:id="24">
    <w:p w14:paraId="2A9FF481"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4.</w:t>
      </w:r>
    </w:p>
  </w:endnote>
  <w:endnote w:id="25">
    <w:p w14:paraId="5573B987" w14:textId="77777777" w:rsidR="00B100FF" w:rsidRPr="00B100FF" w:rsidRDefault="00B100FF" w:rsidP="00B100FF">
      <w:pPr>
        <w:pStyle w:val="af"/>
        <w:rPr>
          <w:lang w:val="en-US"/>
        </w:rPr>
      </w:pPr>
      <w:r w:rsidRPr="00A55A70">
        <w:rPr>
          <w:lang w:val="en-US"/>
        </w:rPr>
        <w:tab/>
      </w:r>
      <w:r w:rsidRPr="000B3B0C">
        <w:rPr>
          <w:rStyle w:val="ab"/>
        </w:rPr>
        <w:endnoteRef/>
      </w:r>
      <w:r w:rsidRPr="00B100FF">
        <w:rPr>
          <w:lang w:val="es-ES"/>
        </w:rPr>
        <w:tab/>
        <w:t xml:space="preserve">CRC/C/SUR/CO/3-4, para. </w:t>
      </w:r>
      <w:r w:rsidRPr="00A55A70">
        <w:rPr>
          <w:lang w:val="en-US"/>
        </w:rPr>
        <w:t>36.</w:t>
      </w:r>
    </w:p>
  </w:endnote>
  <w:endnote w:id="26">
    <w:p w14:paraId="53A14084"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relevant recommendations, see A/HRC/33/4, paras. 133.62–133.66 and 135.34.</w:t>
      </w:r>
    </w:p>
  </w:endnote>
  <w:endnote w:id="27">
    <w:p w14:paraId="6C34E4F0"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4.</w:t>
      </w:r>
    </w:p>
  </w:endnote>
  <w:endnote w:id="28">
    <w:p w14:paraId="443FB4FC"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Ibid.</w:t>
      </w:r>
    </w:p>
  </w:endnote>
  <w:endnote w:id="29">
    <w:p w14:paraId="5B0F13AB"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 8.</w:t>
      </w:r>
    </w:p>
  </w:endnote>
  <w:endnote w:id="30">
    <w:p w14:paraId="6C726514"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CRC/C/SUR/CO/3-4, para. 41 (e).</w:t>
      </w:r>
    </w:p>
  </w:endnote>
  <w:endnote w:id="31">
    <w:p w14:paraId="7B9CA7EC" w14:textId="77777777" w:rsidR="00B100FF" w:rsidRPr="00B100FF" w:rsidRDefault="00B100FF" w:rsidP="00B100FF">
      <w:pPr>
        <w:pStyle w:val="af"/>
        <w:rPr>
          <w:lang w:val="en-US"/>
        </w:rPr>
      </w:pPr>
      <w:r w:rsidRPr="00B100FF">
        <w:rPr>
          <w:lang w:val="es-ES"/>
        </w:rPr>
        <w:tab/>
      </w:r>
      <w:r w:rsidRPr="000B3B0C">
        <w:rPr>
          <w:rStyle w:val="ab"/>
        </w:rPr>
        <w:endnoteRef/>
      </w:r>
      <w:r w:rsidRPr="00A55A70">
        <w:rPr>
          <w:lang w:val="en-US"/>
        </w:rPr>
        <w:tab/>
        <w:t>Ibid., para. 18 (a). See also CEDAW/C/SUR/CO/4-6, para. 27 (c); and UNESCO submission, para. 9.</w:t>
      </w:r>
    </w:p>
  </w:endnote>
  <w:endnote w:id="32">
    <w:p w14:paraId="43E30C15"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relevant recommendations, see A/HRC/33/4, paras. 133.69, 133.81–133.83 and 134.2–134.3.</w:t>
      </w:r>
    </w:p>
  </w:endnote>
  <w:endnote w:id="33">
    <w:p w14:paraId="78536B80"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6.</w:t>
      </w:r>
    </w:p>
  </w:endnote>
  <w:endnote w:id="34">
    <w:p w14:paraId="33500097"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Ibid., p. 3.</w:t>
      </w:r>
    </w:p>
  </w:endnote>
  <w:endnote w:id="35">
    <w:p w14:paraId="1F337AB2"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CRC/C/SUR/CO/3-4, para. </w:t>
      </w:r>
      <w:r w:rsidRPr="00A55A70">
        <w:rPr>
          <w:lang w:val="en-US"/>
        </w:rPr>
        <w:t>41 (a) and (c)–(d).</w:t>
      </w:r>
    </w:p>
  </w:endnote>
  <w:endnote w:id="36">
    <w:p w14:paraId="14F6D057"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the relevant recommendation, see A/HRC/33/4, para. 135.40.</w:t>
      </w:r>
    </w:p>
  </w:endnote>
  <w:endnote w:id="37">
    <w:p w14:paraId="5BA34CA1"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UNESCO submission, paras. 4 and 10.</w:t>
      </w:r>
    </w:p>
  </w:endnote>
  <w:endnote w:id="38">
    <w:p w14:paraId="22BFB114" w14:textId="61356FAA"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 paras. 5 and 11</w:t>
      </w:r>
      <w:r w:rsidR="008D36D8">
        <w:rPr>
          <w:lang w:val="en-US"/>
        </w:rPr>
        <w:t>.</w:t>
      </w:r>
    </w:p>
  </w:endnote>
  <w:endnote w:id="39">
    <w:p w14:paraId="2EF91805"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Ibid., para. 12.</w:t>
      </w:r>
    </w:p>
  </w:endnote>
  <w:endnote w:id="40">
    <w:p w14:paraId="251B43CC" w14:textId="0BB994A1" w:rsidR="00B100FF" w:rsidRPr="002126EB" w:rsidRDefault="00B100FF" w:rsidP="00B100FF">
      <w:pPr>
        <w:pStyle w:val="af"/>
        <w:rPr>
          <w:lang w:val="en-US"/>
        </w:rPr>
      </w:pPr>
      <w:r w:rsidRPr="00B100FF">
        <w:rPr>
          <w:lang w:val="es-ES"/>
        </w:rPr>
        <w:tab/>
      </w:r>
      <w:r w:rsidRPr="000B3B0C">
        <w:rPr>
          <w:rStyle w:val="ab"/>
        </w:rPr>
        <w:endnoteRef/>
      </w:r>
      <w:r w:rsidRPr="002126EB">
        <w:rPr>
          <w:lang w:val="en-US"/>
        </w:rPr>
        <w:tab/>
        <w:t xml:space="preserve">See </w:t>
      </w:r>
      <w:hyperlink r:id="rId2" w:history="1">
        <w:r w:rsidR="008D36D8" w:rsidRPr="002126EB">
          <w:rPr>
            <w:rStyle w:val="af1"/>
            <w:lang w:val="en-US"/>
          </w:rPr>
          <w:t>www.ilo.org/dyn/normlex/en/f?p=1000:13100:0::NO:13100:P13100_COMMENT_ID:3295134:NO</w:t>
        </w:r>
      </w:hyperlink>
      <w:r w:rsidRPr="002126EB">
        <w:rPr>
          <w:lang w:val="en-US"/>
        </w:rPr>
        <w:t>.</w:t>
      </w:r>
    </w:p>
  </w:endnote>
  <w:endnote w:id="41">
    <w:p w14:paraId="2204A3A1" w14:textId="77777777" w:rsidR="00B100FF" w:rsidRPr="00B100FF" w:rsidRDefault="00B100FF" w:rsidP="00B100FF">
      <w:pPr>
        <w:pStyle w:val="af"/>
        <w:widowControl w:val="0"/>
        <w:tabs>
          <w:tab w:val="clear" w:pos="1021"/>
          <w:tab w:val="right" w:pos="1020"/>
        </w:tabs>
        <w:rPr>
          <w:lang w:val="es-ES"/>
        </w:rPr>
      </w:pPr>
      <w:r w:rsidRPr="002126EB">
        <w:rPr>
          <w:lang w:val="en-US"/>
        </w:rPr>
        <w:tab/>
      </w:r>
      <w:r w:rsidRPr="000B3B0C">
        <w:rPr>
          <w:rStyle w:val="ab"/>
        </w:rPr>
        <w:endnoteRef/>
      </w:r>
      <w:r w:rsidRPr="00A55A70">
        <w:rPr>
          <w:lang w:val="en-US"/>
        </w:rPr>
        <w:tab/>
        <w:t xml:space="preserve">For relevant recommendations, see A/HRC/33/4, paras. </w:t>
      </w:r>
      <w:r w:rsidRPr="00B100FF">
        <w:rPr>
          <w:lang w:val="es-ES"/>
        </w:rPr>
        <w:t>133.75–133.80.</w:t>
      </w:r>
    </w:p>
  </w:endnote>
  <w:endnote w:id="42">
    <w:p w14:paraId="27062C02"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CRC/C/SUR/CO/3-4, para. </w:t>
      </w:r>
      <w:r w:rsidRPr="00A55A70">
        <w:rPr>
          <w:lang w:val="en-US"/>
        </w:rPr>
        <w:t>39 (a)–(b).</w:t>
      </w:r>
    </w:p>
  </w:endnote>
  <w:endnote w:id="43">
    <w:p w14:paraId="32D31E5F"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5.</w:t>
      </w:r>
    </w:p>
  </w:endnote>
  <w:endnote w:id="44">
    <w:p w14:paraId="6840ED96"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Ibid.</w:t>
      </w:r>
    </w:p>
  </w:endnote>
  <w:endnote w:id="45">
    <w:p w14:paraId="1DE793D9"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CEDAW/C/SUR/CO/4-6, para. </w:t>
      </w:r>
      <w:r w:rsidRPr="00A55A70">
        <w:rPr>
          <w:lang w:val="en-US"/>
        </w:rPr>
        <w:t>29 (a).</w:t>
      </w:r>
    </w:p>
  </w:endnote>
  <w:endnote w:id="46">
    <w:p w14:paraId="581FA513"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 para. 29 (b). See also United Nations country team submission, p. 5.</w:t>
      </w:r>
    </w:p>
  </w:endnote>
  <w:endnote w:id="47">
    <w:p w14:paraId="510CC16A" w14:textId="2A48F015"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 xml:space="preserve">See </w:t>
      </w:r>
      <w:hyperlink r:id="rId3" w:history="1">
        <w:r w:rsidR="008D36D8" w:rsidRPr="00A30319">
          <w:rPr>
            <w:rStyle w:val="af1"/>
            <w:lang w:val="en-US"/>
          </w:rPr>
          <w:t>www.ilo.org/dyn/normlex/en/f?p=1000:13100:0::NO:13100:P13100_COMMENT_ID:3289947:NO</w:t>
        </w:r>
      </w:hyperlink>
      <w:r w:rsidRPr="00A55A70">
        <w:rPr>
          <w:lang w:val="en-US"/>
        </w:rPr>
        <w:t>.</w:t>
      </w:r>
    </w:p>
  </w:endnote>
  <w:endnote w:id="48">
    <w:p w14:paraId="7164CE7B"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UNHCR submission, p. 5. See also United Nations country team submission, p. 5.</w:t>
      </w:r>
    </w:p>
  </w:endnote>
  <w:endnote w:id="49">
    <w:p w14:paraId="43522FC2"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the relevant recommendation, see A/HRC/33/4, para. 133.26.</w:t>
      </w:r>
    </w:p>
  </w:endnote>
  <w:endnote w:id="50">
    <w:p w14:paraId="42FEEEAF" w14:textId="46D3DDFA"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 xml:space="preserve">See </w:t>
      </w:r>
      <w:hyperlink r:id="rId4" w:history="1">
        <w:r w:rsidR="008D36D8" w:rsidRPr="00A30319">
          <w:rPr>
            <w:rStyle w:val="af1"/>
            <w:lang w:val="en-US"/>
          </w:rPr>
          <w:t>www.ilo.org/dyn/normlex/en/f?p=1000:13100:0::NO:13100:P13100_COMMENT_ID:3956501:NO</w:t>
        </w:r>
      </w:hyperlink>
      <w:r w:rsidRPr="00A55A70">
        <w:rPr>
          <w:lang w:val="en-US"/>
        </w:rPr>
        <w:t>.</w:t>
      </w:r>
    </w:p>
  </w:endnote>
  <w:endnote w:id="51">
    <w:p w14:paraId="491774CF"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12.</w:t>
      </w:r>
    </w:p>
  </w:endnote>
  <w:endnote w:id="52">
    <w:p w14:paraId="23E8FCBF"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CEDAW/C/SUR/CO/4-6, para. 36 (c).</w:t>
      </w:r>
    </w:p>
  </w:endnote>
  <w:endnote w:id="53">
    <w:p w14:paraId="3C34F32B"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36 (d).</w:t>
      </w:r>
    </w:p>
  </w:endnote>
  <w:endnote w:id="54">
    <w:p w14:paraId="566192E9"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CRC/C/SUR/CO/3-4, para. </w:t>
      </w:r>
      <w:r w:rsidRPr="00A55A70">
        <w:rPr>
          <w:lang w:val="en-US"/>
        </w:rPr>
        <w:t>38 (d).</w:t>
      </w:r>
    </w:p>
  </w:endnote>
  <w:endnote w:id="55">
    <w:p w14:paraId="784DC9C3" w14:textId="1F33D24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 xml:space="preserve">See </w:t>
      </w:r>
      <w:hyperlink r:id="rId5" w:history="1">
        <w:r w:rsidR="008D36D8" w:rsidRPr="00A30319">
          <w:rPr>
            <w:rStyle w:val="af1"/>
            <w:lang w:val="en-US"/>
          </w:rPr>
          <w:t>www.ilo.org/dyn/normlex/en/f?p=1000:13100:0::NO:13100:P13100_COMMENT_ID:3962786:NO</w:t>
        </w:r>
      </w:hyperlink>
      <w:r w:rsidRPr="00A55A70">
        <w:rPr>
          <w:lang w:val="en-US"/>
        </w:rPr>
        <w:t>.</w:t>
      </w:r>
    </w:p>
  </w:endnote>
  <w:endnote w:id="56">
    <w:p w14:paraId="5B4224DD"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7.</w:t>
      </w:r>
    </w:p>
  </w:endnote>
  <w:endnote w:id="57">
    <w:p w14:paraId="138D2933"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CEDAW/C/SUR/CO/4-6, para. 37 (c).</w:t>
      </w:r>
    </w:p>
  </w:endnote>
  <w:endnote w:id="58">
    <w:p w14:paraId="2972471F"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CRC/C/SUR/CO/3-4, para. </w:t>
      </w:r>
      <w:r w:rsidRPr="00A55A70">
        <w:rPr>
          <w:lang w:val="en-US"/>
        </w:rPr>
        <w:t>33 (c).</w:t>
      </w:r>
    </w:p>
  </w:endnote>
  <w:endnote w:id="59">
    <w:p w14:paraId="201F2F94"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 para. 27 (b).</w:t>
      </w:r>
    </w:p>
  </w:endnote>
  <w:endnote w:id="60">
    <w:p w14:paraId="677106E5"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relevant recommendations, see A/HRC/33/4, paras. 133.25 and 133.85.</w:t>
      </w:r>
    </w:p>
  </w:endnote>
  <w:endnote w:id="61">
    <w:p w14:paraId="76227FFD"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9.</w:t>
      </w:r>
    </w:p>
  </w:endnote>
  <w:endnote w:id="62">
    <w:p w14:paraId="24951655" w14:textId="77777777" w:rsidR="00B100FF" w:rsidRPr="00B100FF" w:rsidRDefault="00B100FF" w:rsidP="00B100FF">
      <w:pPr>
        <w:pStyle w:val="af"/>
        <w:rPr>
          <w:lang w:val="en-US"/>
        </w:rPr>
      </w:pPr>
      <w:r w:rsidRPr="00A55A70">
        <w:rPr>
          <w:lang w:val="en-US"/>
        </w:rPr>
        <w:tab/>
      </w:r>
      <w:r w:rsidRPr="000B3B0C">
        <w:rPr>
          <w:rStyle w:val="ab"/>
        </w:rPr>
        <w:endnoteRef/>
      </w:r>
      <w:r w:rsidRPr="00B100FF">
        <w:rPr>
          <w:lang w:val="es-ES"/>
        </w:rPr>
        <w:tab/>
        <w:t xml:space="preserve">CEDAW/C/SUR/CO/4-6, para. </w:t>
      </w:r>
      <w:r w:rsidRPr="00A55A70">
        <w:rPr>
          <w:lang w:val="en-US"/>
        </w:rPr>
        <w:t>44.</w:t>
      </w:r>
    </w:p>
  </w:endnote>
  <w:endnote w:id="63">
    <w:p w14:paraId="06867374"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10.</w:t>
      </w:r>
    </w:p>
  </w:endnote>
  <w:endnote w:id="64">
    <w:p w14:paraId="6F07E1EF"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CRC/C/SUR/CO/3-4, para. 33 (a).</w:t>
      </w:r>
    </w:p>
  </w:endnote>
  <w:endnote w:id="65">
    <w:p w14:paraId="1C7381E4"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28 (f).</w:t>
      </w:r>
    </w:p>
  </w:endnote>
  <w:endnote w:id="66">
    <w:p w14:paraId="164AC93E"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Ibid., para. </w:t>
      </w:r>
      <w:r w:rsidRPr="00A55A70">
        <w:rPr>
          <w:lang w:val="en-US"/>
        </w:rPr>
        <w:t>28 (b).</w:t>
      </w:r>
    </w:p>
  </w:endnote>
  <w:endnote w:id="67">
    <w:p w14:paraId="4E1718F4"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relevant recommendations, see A/HRC/33/4, paras. 133.86–133.89.</w:t>
      </w:r>
    </w:p>
  </w:endnote>
  <w:endnote w:id="68">
    <w:p w14:paraId="672522C7"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10.</w:t>
      </w:r>
    </w:p>
  </w:endnote>
  <w:endnote w:id="69">
    <w:p w14:paraId="16B419D7"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CEDAW/C/SUR/CO/4-6, para. 38 (a).</w:t>
      </w:r>
    </w:p>
  </w:endnote>
  <w:endnote w:id="70">
    <w:p w14:paraId="16501603"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38 (b).</w:t>
      </w:r>
    </w:p>
  </w:endnote>
  <w:endnote w:id="71">
    <w:p w14:paraId="196940D1"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CRC/C/SUR/CO/3-4, para. 28 (a).</w:t>
      </w:r>
    </w:p>
  </w:endnote>
  <w:endnote w:id="72">
    <w:p w14:paraId="75E84F97"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30 (a)–(b).</w:t>
      </w:r>
    </w:p>
  </w:endnote>
  <w:endnote w:id="73">
    <w:p w14:paraId="6C424080" w14:textId="77777777" w:rsidR="00B100FF" w:rsidRPr="00B100FF" w:rsidRDefault="00B100FF" w:rsidP="00B100FF">
      <w:pPr>
        <w:pStyle w:val="af"/>
        <w:rPr>
          <w:lang w:val="en-US"/>
        </w:rPr>
      </w:pPr>
      <w:r w:rsidRPr="00B100FF">
        <w:rPr>
          <w:lang w:val="es-ES"/>
        </w:rPr>
        <w:tab/>
      </w:r>
      <w:r w:rsidRPr="000B3B0C">
        <w:rPr>
          <w:rStyle w:val="ab"/>
        </w:rPr>
        <w:endnoteRef/>
      </w:r>
      <w:r w:rsidRPr="00A55A70">
        <w:rPr>
          <w:lang w:val="en-US"/>
        </w:rPr>
        <w:tab/>
        <w:t>United Nations country team submission, p. 11.</w:t>
      </w:r>
    </w:p>
  </w:endnote>
  <w:endnote w:id="74">
    <w:p w14:paraId="44B15706" w14:textId="77777777" w:rsidR="00B100FF" w:rsidRPr="00B100FF" w:rsidRDefault="00B100FF" w:rsidP="00B100FF">
      <w:pPr>
        <w:pStyle w:val="af"/>
        <w:rPr>
          <w:lang w:val="en-US"/>
        </w:rPr>
      </w:pPr>
      <w:r w:rsidRPr="00A55A70">
        <w:rPr>
          <w:lang w:val="en-US"/>
        </w:rPr>
        <w:tab/>
      </w:r>
      <w:r w:rsidRPr="000B3B0C">
        <w:rPr>
          <w:rStyle w:val="ab"/>
        </w:rPr>
        <w:endnoteRef/>
      </w:r>
      <w:r w:rsidRPr="00B100FF">
        <w:rPr>
          <w:lang w:val="es-ES"/>
        </w:rPr>
        <w:tab/>
        <w:t xml:space="preserve">CRC/C/SUR/CO/3-4, para. </w:t>
      </w:r>
      <w:r w:rsidRPr="00A55A70">
        <w:rPr>
          <w:lang w:val="en-US"/>
        </w:rPr>
        <w:t>31 (b). See also CEDAW/C/SUR/CO/4-6, para. 34 (e); and the United Nations country team submission, p. 11.</w:t>
      </w:r>
    </w:p>
  </w:endnote>
  <w:endnote w:id="75">
    <w:p w14:paraId="62646A01" w14:textId="77777777" w:rsidR="00B100FF" w:rsidRPr="00B100FF" w:rsidRDefault="00B100FF" w:rsidP="00B100FF">
      <w:pPr>
        <w:pStyle w:val="af"/>
        <w:rPr>
          <w:lang w:val="es-ES"/>
        </w:rPr>
      </w:pPr>
      <w:r w:rsidRPr="00A55A70">
        <w:rPr>
          <w:lang w:val="en-US"/>
        </w:rPr>
        <w:tab/>
      </w:r>
      <w:r w:rsidRPr="000B3B0C">
        <w:rPr>
          <w:rStyle w:val="ab"/>
        </w:rPr>
        <w:endnoteRef/>
      </w:r>
      <w:r w:rsidRPr="00A55A70">
        <w:rPr>
          <w:lang w:val="en-US"/>
        </w:rPr>
        <w:tab/>
        <w:t xml:space="preserve">CEDAW/C/SUR/CO/4-6, para. </w:t>
      </w:r>
      <w:r w:rsidRPr="00B100FF">
        <w:rPr>
          <w:lang w:val="es-ES"/>
        </w:rPr>
        <w:t>38 (c).</w:t>
      </w:r>
    </w:p>
  </w:endnote>
  <w:endnote w:id="76">
    <w:p w14:paraId="414386A0"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39 (e).</w:t>
      </w:r>
    </w:p>
  </w:endnote>
  <w:endnote w:id="77">
    <w:p w14:paraId="56906EEE"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CRC/C/SUR/CO/3-4, para. </w:t>
      </w:r>
      <w:r w:rsidRPr="00A55A70">
        <w:rPr>
          <w:lang w:val="en-US"/>
        </w:rPr>
        <w:t>28 (d).</w:t>
      </w:r>
    </w:p>
  </w:endnote>
  <w:endnote w:id="78">
    <w:p w14:paraId="7DFC933F"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11.</w:t>
      </w:r>
    </w:p>
  </w:endnote>
  <w:endnote w:id="79">
    <w:p w14:paraId="5DA9E294"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Ibid., p. 10.</w:t>
      </w:r>
    </w:p>
  </w:endnote>
  <w:endnote w:id="80">
    <w:p w14:paraId="596629FF"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CRC/C/SUR/CO/3-4, para. </w:t>
      </w:r>
      <w:r w:rsidRPr="00A55A70">
        <w:rPr>
          <w:lang w:val="en-US"/>
        </w:rPr>
        <w:t>29 (b).</w:t>
      </w:r>
    </w:p>
  </w:endnote>
  <w:endnote w:id="81">
    <w:p w14:paraId="3F65FA7F"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11.</w:t>
      </w:r>
    </w:p>
  </w:endnote>
  <w:endnote w:id="82">
    <w:p w14:paraId="4647B254" w14:textId="1AF5B691"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relevant recommendations, see A/HRC/33/4, paras. 133.90–133.95 and 135.41</w:t>
      </w:r>
      <w:r w:rsidR="008D36D8">
        <w:rPr>
          <w:lang w:val="en-US"/>
        </w:rPr>
        <w:t>.</w:t>
      </w:r>
    </w:p>
  </w:endnote>
  <w:endnote w:id="83">
    <w:p w14:paraId="47911256" w14:textId="77777777" w:rsidR="00B100FF" w:rsidRPr="00B100FF" w:rsidRDefault="00B100FF" w:rsidP="00B100FF">
      <w:pPr>
        <w:pStyle w:val="af"/>
        <w:rPr>
          <w:lang w:val="es-ES"/>
        </w:rPr>
      </w:pPr>
      <w:r w:rsidRPr="00A55A70">
        <w:rPr>
          <w:lang w:val="en-US"/>
        </w:rPr>
        <w:tab/>
      </w:r>
      <w:r w:rsidRPr="000B3B0C">
        <w:rPr>
          <w:rStyle w:val="ab"/>
        </w:rPr>
        <w:endnoteRef/>
      </w:r>
      <w:r w:rsidRPr="00A55A70">
        <w:rPr>
          <w:lang w:val="en-US"/>
        </w:rPr>
        <w:tab/>
        <w:t xml:space="preserve">CRC/C/SUR/CO/3-4, para. </w:t>
      </w:r>
      <w:r w:rsidRPr="00B100FF">
        <w:rPr>
          <w:lang w:val="es-ES"/>
        </w:rPr>
        <w:t>34 (b).</w:t>
      </w:r>
    </w:p>
  </w:endnote>
  <w:endnote w:id="84">
    <w:p w14:paraId="23795492"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34 (c).</w:t>
      </w:r>
    </w:p>
  </w:endnote>
  <w:endnote w:id="85">
    <w:p w14:paraId="00AE2B07"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CEDAW/C/SUR/CO/4-6, para. 34 (b).</w:t>
      </w:r>
    </w:p>
  </w:endnote>
  <w:endnote w:id="86">
    <w:p w14:paraId="34B551AF"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CRC/C/SUR/CO/3-4, para. </w:t>
      </w:r>
      <w:r w:rsidRPr="00A55A70">
        <w:rPr>
          <w:lang w:val="en-US"/>
        </w:rPr>
        <w:t>34 (d).</w:t>
      </w:r>
    </w:p>
  </w:endnote>
  <w:endnote w:id="87">
    <w:p w14:paraId="2B0B6B83"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11.</w:t>
      </w:r>
    </w:p>
  </w:endnote>
  <w:endnote w:id="88">
    <w:p w14:paraId="702843C3"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CEDAW/C/SUR/CO/4-6, para. 34 (d).</w:t>
      </w:r>
    </w:p>
  </w:endnote>
  <w:endnote w:id="89">
    <w:p w14:paraId="53BC76C1"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paras. 34 (f) and 35 (e).</w:t>
      </w:r>
    </w:p>
  </w:endnote>
  <w:endnote w:id="90">
    <w:p w14:paraId="0024A35B"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34 (c).</w:t>
      </w:r>
    </w:p>
  </w:endnote>
  <w:endnote w:id="91">
    <w:p w14:paraId="189B9A5A"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CRC/C/SUR/CO/3-4, para. </w:t>
      </w:r>
      <w:r w:rsidRPr="00A55A70">
        <w:rPr>
          <w:lang w:val="en-US"/>
        </w:rPr>
        <w:t>35 (a).</w:t>
      </w:r>
    </w:p>
  </w:endnote>
  <w:endnote w:id="92">
    <w:p w14:paraId="247D1C55"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11.</w:t>
      </w:r>
    </w:p>
  </w:endnote>
  <w:endnote w:id="93">
    <w:p w14:paraId="6EB49C1C" w14:textId="1D9AF9AF"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 xml:space="preserve">See </w:t>
      </w:r>
      <w:r w:rsidR="009274A5">
        <w:fldChar w:fldCharType="begin"/>
      </w:r>
      <w:r w:rsidR="009274A5" w:rsidRPr="00F15FF3">
        <w:rPr>
          <w:lang w:val="en-US"/>
        </w:rPr>
        <w:instrText xml:space="preserve"> HYPERLINK "http://www.ilo.org/dyn/normlex/en/f?p=1000:13100:0::NO:13100:P13100_COMMENT_ID:3289947:NO" </w:instrText>
      </w:r>
      <w:r w:rsidR="009274A5">
        <w:fldChar w:fldCharType="separate"/>
      </w:r>
      <w:r w:rsidR="008D36D8" w:rsidRPr="00A30319">
        <w:rPr>
          <w:rStyle w:val="af1"/>
          <w:lang w:val="en-US"/>
        </w:rPr>
        <w:t>www.ilo.org/dyn/normlex/en/f?p=1000:13100:0::NO:13100:P13100_COMMENT_ID:3289947:NO</w:t>
      </w:r>
      <w:r w:rsidR="009274A5">
        <w:rPr>
          <w:rStyle w:val="af1"/>
          <w:lang w:val="en-US"/>
        </w:rPr>
        <w:fldChar w:fldCharType="end"/>
      </w:r>
      <w:r w:rsidRPr="00A55A70">
        <w:rPr>
          <w:lang w:val="en-US"/>
        </w:rPr>
        <w:t>.</w:t>
      </w:r>
    </w:p>
  </w:endnote>
  <w:endnote w:id="94">
    <w:p w14:paraId="21D5C92C"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relevant recommendations, see A/HRC/33/4, paras. 133.42–133.54 and 133.67–133.68.</w:t>
      </w:r>
    </w:p>
  </w:endnote>
  <w:endnote w:id="95">
    <w:p w14:paraId="21935F26"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6.</w:t>
      </w:r>
    </w:p>
  </w:endnote>
  <w:endnote w:id="96">
    <w:p w14:paraId="2DB5F731" w14:textId="77777777" w:rsidR="00B100FF" w:rsidRPr="00B100FF" w:rsidRDefault="00B100FF" w:rsidP="00B100FF">
      <w:pPr>
        <w:pStyle w:val="af"/>
        <w:rPr>
          <w:lang w:val="en-US"/>
        </w:rPr>
      </w:pPr>
      <w:r w:rsidRPr="00A55A70">
        <w:rPr>
          <w:lang w:val="en-US"/>
        </w:rPr>
        <w:tab/>
      </w:r>
      <w:r w:rsidRPr="000B3B0C">
        <w:rPr>
          <w:rStyle w:val="ab"/>
        </w:rPr>
        <w:endnoteRef/>
      </w:r>
      <w:r w:rsidRPr="00B100FF">
        <w:rPr>
          <w:lang w:val="es-ES"/>
        </w:rPr>
        <w:tab/>
        <w:t xml:space="preserve">CEDAW/C/SUR/CO/4-6, para. </w:t>
      </w:r>
      <w:r w:rsidRPr="00A55A70">
        <w:rPr>
          <w:lang w:val="en-US"/>
        </w:rPr>
        <w:t>13 (b).</w:t>
      </w:r>
    </w:p>
  </w:endnote>
  <w:endnote w:id="97">
    <w:p w14:paraId="38D8EA18"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 para. 27 (b).</w:t>
      </w:r>
    </w:p>
  </w:endnote>
  <w:endnote w:id="98">
    <w:p w14:paraId="749965A5"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6.</w:t>
      </w:r>
    </w:p>
  </w:endnote>
  <w:endnote w:id="99">
    <w:p w14:paraId="3BDD5D5C"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CEDAW/C/SUR/CO/4-6, para. 24.</w:t>
      </w:r>
    </w:p>
  </w:endnote>
  <w:endnote w:id="100">
    <w:p w14:paraId="365353FC"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52 (b).</w:t>
      </w:r>
    </w:p>
  </w:endnote>
  <w:endnote w:id="101">
    <w:p w14:paraId="35C9C1EA"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CRC/C/SUR/CO/3-4, para. </w:t>
      </w:r>
      <w:r w:rsidRPr="00A55A70">
        <w:rPr>
          <w:lang w:val="en-US"/>
        </w:rPr>
        <w:t>13. See also United Nations country team submission, p. 7.</w:t>
      </w:r>
    </w:p>
  </w:endnote>
  <w:endnote w:id="102">
    <w:p w14:paraId="1820FFE8" w14:textId="77777777" w:rsidR="00B100FF" w:rsidRPr="00B100FF" w:rsidRDefault="00B100FF" w:rsidP="00B100FF">
      <w:pPr>
        <w:pStyle w:val="af"/>
        <w:rPr>
          <w:lang w:val="en-US"/>
        </w:rPr>
      </w:pPr>
      <w:r w:rsidRPr="00A55A70">
        <w:rPr>
          <w:lang w:val="en-US"/>
        </w:rPr>
        <w:tab/>
      </w:r>
      <w:r w:rsidRPr="000B3B0C">
        <w:rPr>
          <w:rStyle w:val="ab"/>
        </w:rPr>
        <w:endnoteRef/>
      </w:r>
      <w:r w:rsidRPr="00B100FF">
        <w:rPr>
          <w:lang w:val="es-ES"/>
        </w:rPr>
        <w:tab/>
        <w:t xml:space="preserve">CEDAW/C/SUR/CO/4-6, para. </w:t>
      </w:r>
      <w:r w:rsidRPr="00A55A70">
        <w:rPr>
          <w:lang w:val="en-US"/>
        </w:rPr>
        <w:t>30.</w:t>
      </w:r>
    </w:p>
  </w:endnote>
  <w:endnote w:id="103">
    <w:p w14:paraId="45062F36"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relevant recommendations, see A/HRC/33/4, paras. 133.70–133.74, 133.84 and 135.35–135.39.</w:t>
      </w:r>
    </w:p>
  </w:endnote>
  <w:endnote w:id="104">
    <w:p w14:paraId="194E12D8"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CRC/C/SUR/CO/3-4, para. 19 (b) and (d).</w:t>
      </w:r>
    </w:p>
  </w:endnote>
  <w:endnote w:id="105">
    <w:p w14:paraId="6335B558" w14:textId="77777777" w:rsidR="00B100FF" w:rsidRPr="00B100FF" w:rsidRDefault="00B100FF" w:rsidP="00B100FF">
      <w:pPr>
        <w:pStyle w:val="af"/>
        <w:rPr>
          <w:lang w:val="es-ES"/>
        </w:rPr>
      </w:pPr>
      <w:r w:rsidRPr="00A55A70">
        <w:rPr>
          <w:lang w:val="en-US"/>
        </w:rPr>
        <w:tab/>
      </w:r>
      <w:r w:rsidRPr="000B3B0C">
        <w:rPr>
          <w:rStyle w:val="ab"/>
        </w:rPr>
        <w:endnoteRef/>
      </w:r>
      <w:r w:rsidRPr="00A55A70">
        <w:rPr>
          <w:lang w:val="en-US"/>
        </w:rPr>
        <w:tab/>
        <w:t xml:space="preserve">Ibid., para. </w:t>
      </w:r>
      <w:r w:rsidRPr="00B100FF">
        <w:rPr>
          <w:lang w:val="es-ES"/>
        </w:rPr>
        <w:t>19 (f).</w:t>
      </w:r>
    </w:p>
  </w:endnote>
  <w:endnote w:id="106">
    <w:p w14:paraId="1E7AD8BF"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19 (g).</w:t>
      </w:r>
    </w:p>
  </w:endnote>
  <w:endnote w:id="107">
    <w:p w14:paraId="69D9E0D0"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20.</w:t>
      </w:r>
    </w:p>
  </w:endnote>
  <w:endnote w:id="108">
    <w:p w14:paraId="66928C10"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21 (a).</w:t>
      </w:r>
    </w:p>
  </w:endnote>
  <w:endnote w:id="109">
    <w:p w14:paraId="1F142F5C"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21 (d).</w:t>
      </w:r>
    </w:p>
  </w:endnote>
  <w:endnote w:id="110">
    <w:p w14:paraId="6469A553"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24 (a).</w:t>
      </w:r>
    </w:p>
  </w:endnote>
  <w:endnote w:id="111">
    <w:p w14:paraId="43F8573D"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Ibid., para. </w:t>
      </w:r>
      <w:r w:rsidRPr="00A55A70">
        <w:rPr>
          <w:lang w:val="en-US"/>
        </w:rPr>
        <w:t>24 (d).</w:t>
      </w:r>
    </w:p>
  </w:endnote>
  <w:endnote w:id="112">
    <w:p w14:paraId="2937A331"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7.</w:t>
      </w:r>
    </w:p>
  </w:endnote>
  <w:endnote w:id="113">
    <w:p w14:paraId="567C5515" w14:textId="77777777" w:rsidR="00B100FF" w:rsidRPr="00B100FF" w:rsidRDefault="00B100FF" w:rsidP="00B100FF">
      <w:pPr>
        <w:pStyle w:val="af"/>
        <w:rPr>
          <w:lang w:val="en-US"/>
        </w:rPr>
      </w:pPr>
      <w:r w:rsidRPr="00A55A70">
        <w:rPr>
          <w:lang w:val="en-US"/>
        </w:rPr>
        <w:tab/>
      </w:r>
      <w:r w:rsidRPr="000B3B0C">
        <w:rPr>
          <w:rStyle w:val="ab"/>
        </w:rPr>
        <w:endnoteRef/>
      </w:r>
      <w:r w:rsidRPr="00B100FF">
        <w:rPr>
          <w:lang w:val="es-ES"/>
        </w:rPr>
        <w:tab/>
        <w:t xml:space="preserve">CRC/C/SUR/CO/3-4, para. </w:t>
      </w:r>
      <w:r w:rsidRPr="00A55A70">
        <w:rPr>
          <w:lang w:val="en-US"/>
        </w:rPr>
        <w:t>37.</w:t>
      </w:r>
    </w:p>
  </w:endnote>
  <w:endnote w:id="114">
    <w:p w14:paraId="7AD8EF00"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 para. 38 (c).</w:t>
      </w:r>
    </w:p>
  </w:endnote>
  <w:endnote w:id="115">
    <w:p w14:paraId="6F55D42C"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the relevant recommendation, see A/HRC/33/4, para. 135.42.</w:t>
      </w:r>
    </w:p>
  </w:endnote>
  <w:endnote w:id="116">
    <w:p w14:paraId="4AB9A1E2"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8.</w:t>
      </w:r>
    </w:p>
  </w:endnote>
  <w:endnote w:id="117">
    <w:p w14:paraId="4E84255B"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CRC/C/SUR/CO/3-4, para. 26 (b).</w:t>
      </w:r>
    </w:p>
  </w:endnote>
  <w:endnote w:id="118">
    <w:p w14:paraId="3E99EE1F"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27.</w:t>
      </w:r>
    </w:p>
  </w:endnote>
  <w:endnote w:id="119">
    <w:p w14:paraId="325101D7"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27 (a).</w:t>
      </w:r>
    </w:p>
  </w:endnote>
  <w:endnote w:id="120">
    <w:p w14:paraId="68C06221"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27 (c).</w:t>
      </w:r>
    </w:p>
  </w:endnote>
  <w:endnote w:id="121">
    <w:p w14:paraId="378181B4"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Ibid., para. 27 (d).</w:t>
      </w:r>
    </w:p>
  </w:endnote>
  <w:endnote w:id="122">
    <w:p w14:paraId="7E599793"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r>
      <w:r>
        <w:t>Там</w:t>
      </w:r>
      <w:r w:rsidRPr="00B100FF">
        <w:rPr>
          <w:lang w:val="es-ES"/>
        </w:rPr>
        <w:t xml:space="preserve"> </w:t>
      </w:r>
      <w:r>
        <w:t>же</w:t>
      </w:r>
      <w:r w:rsidRPr="00B100FF">
        <w:rPr>
          <w:lang w:val="es-ES"/>
        </w:rPr>
        <w:t xml:space="preserve">, </w:t>
      </w:r>
      <w:r>
        <w:t>п</w:t>
      </w:r>
      <w:r w:rsidRPr="00B100FF">
        <w:rPr>
          <w:lang w:val="es-ES"/>
        </w:rPr>
        <w:t>. 27 e).</w:t>
      </w:r>
    </w:p>
  </w:endnote>
  <w:endnote w:id="123">
    <w:p w14:paraId="4E18E3A7"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Ibid., para. </w:t>
      </w:r>
      <w:r w:rsidRPr="00A55A70">
        <w:rPr>
          <w:lang w:val="en-US"/>
        </w:rPr>
        <w:t>27 (f).</w:t>
      </w:r>
    </w:p>
  </w:endnote>
  <w:endnote w:id="124">
    <w:p w14:paraId="2BE2643F" w14:textId="77777777" w:rsidR="00B100FF" w:rsidRPr="00B100FF" w:rsidRDefault="00B100FF" w:rsidP="00B100FF">
      <w:pPr>
        <w:pStyle w:val="af"/>
        <w:widowControl w:val="0"/>
        <w:tabs>
          <w:tab w:val="clear" w:pos="1021"/>
          <w:tab w:val="right" w:pos="1020"/>
        </w:tabs>
        <w:rPr>
          <w:lang w:val="en-US"/>
        </w:rPr>
      </w:pPr>
      <w:r w:rsidRPr="00A55A70">
        <w:rPr>
          <w:lang w:val="en-US"/>
        </w:rPr>
        <w:tab/>
      </w:r>
      <w:r w:rsidRPr="000B3B0C">
        <w:rPr>
          <w:rStyle w:val="ab"/>
        </w:rPr>
        <w:endnoteRef/>
      </w:r>
      <w:r w:rsidRPr="00A55A70">
        <w:rPr>
          <w:lang w:val="en-US"/>
        </w:rPr>
        <w:tab/>
        <w:t>For relevant recommendations, see A/HRC/33/4, paras. 133.96–133.101.</w:t>
      </w:r>
    </w:p>
  </w:endnote>
  <w:endnote w:id="125">
    <w:p w14:paraId="272C91EA" w14:textId="2A130618"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United Nations country team submission, p. 8</w:t>
      </w:r>
      <w:r w:rsidR="008D36D8">
        <w:rPr>
          <w:lang w:val="en-US"/>
        </w:rPr>
        <w:t>.</w:t>
      </w:r>
    </w:p>
  </w:endnote>
  <w:endnote w:id="126">
    <w:p w14:paraId="73E68D5B"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Ibid., p. 9.</w:t>
      </w:r>
    </w:p>
  </w:endnote>
  <w:endnote w:id="127">
    <w:p w14:paraId="6EC9C39B" w14:textId="77777777" w:rsidR="00B100FF" w:rsidRPr="00B100FF" w:rsidRDefault="00B100FF" w:rsidP="00B100FF">
      <w:pPr>
        <w:pStyle w:val="af"/>
        <w:rPr>
          <w:lang w:val="en-US"/>
        </w:rPr>
      </w:pPr>
      <w:r w:rsidRPr="00B100FF">
        <w:rPr>
          <w:lang w:val="es-ES"/>
        </w:rPr>
        <w:tab/>
      </w:r>
      <w:r w:rsidRPr="000B3B0C">
        <w:rPr>
          <w:rStyle w:val="ab"/>
        </w:rPr>
        <w:endnoteRef/>
      </w:r>
      <w:r w:rsidRPr="00B100FF">
        <w:rPr>
          <w:lang w:val="es-ES"/>
        </w:rPr>
        <w:tab/>
        <w:t xml:space="preserve">CEDAW/C/SUR/CO/4-6, para. </w:t>
      </w:r>
      <w:r w:rsidRPr="00A55A70">
        <w:rPr>
          <w:lang w:val="en-US"/>
        </w:rPr>
        <w:t>44.</w:t>
      </w:r>
    </w:p>
  </w:endnote>
  <w:endnote w:id="128">
    <w:p w14:paraId="4D6212B6"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 para. 48.</w:t>
      </w:r>
    </w:p>
  </w:endnote>
  <w:endnote w:id="129">
    <w:p w14:paraId="46749E44"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UNHCR submission, p. 3.</w:t>
      </w:r>
    </w:p>
  </w:endnote>
  <w:endnote w:id="130">
    <w:p w14:paraId="02E881DB"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w:t>
      </w:r>
    </w:p>
  </w:endnote>
  <w:endnote w:id="131">
    <w:p w14:paraId="2CCA584C"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w:t>
      </w:r>
    </w:p>
  </w:endnote>
  <w:endnote w:id="132">
    <w:p w14:paraId="69AA15C1"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 p. 5.</w:t>
      </w:r>
    </w:p>
  </w:endnote>
  <w:endnote w:id="133">
    <w:p w14:paraId="3D117C28"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Ibid., p. 3.</w:t>
      </w:r>
    </w:p>
  </w:endnote>
  <w:endnote w:id="134">
    <w:p w14:paraId="62D4EBB6"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CEDAW/C/SUR/CO/4-6, para. 48.</w:t>
      </w:r>
    </w:p>
  </w:endnote>
  <w:endnote w:id="135">
    <w:p w14:paraId="1D639583" w14:textId="77777777" w:rsidR="00B100FF" w:rsidRPr="00B100FF" w:rsidRDefault="00B100FF" w:rsidP="00B100FF">
      <w:pPr>
        <w:pStyle w:val="af"/>
        <w:rPr>
          <w:lang w:val="en-US"/>
        </w:rPr>
      </w:pPr>
      <w:r w:rsidRPr="00A55A70">
        <w:rPr>
          <w:lang w:val="en-US"/>
        </w:rPr>
        <w:tab/>
      </w:r>
      <w:r w:rsidRPr="000B3B0C">
        <w:rPr>
          <w:rStyle w:val="ab"/>
        </w:rPr>
        <w:endnoteRef/>
      </w:r>
      <w:r w:rsidRPr="00A55A70">
        <w:rPr>
          <w:lang w:val="en-US"/>
        </w:rPr>
        <w:tab/>
        <w:t>UNHCR submission, p. 4.</w:t>
      </w:r>
    </w:p>
  </w:endnote>
  <w:endnote w:id="136">
    <w:p w14:paraId="106B87C0" w14:textId="77777777" w:rsidR="00B100FF" w:rsidRPr="00B100FF" w:rsidRDefault="00B100FF" w:rsidP="00B100FF">
      <w:pPr>
        <w:pStyle w:val="af"/>
        <w:rPr>
          <w:lang w:val="es-ES"/>
        </w:rPr>
      </w:pPr>
      <w:r w:rsidRPr="00A55A70">
        <w:rPr>
          <w:lang w:val="en-US"/>
        </w:rPr>
        <w:tab/>
      </w:r>
      <w:r w:rsidRPr="000B3B0C">
        <w:rPr>
          <w:rStyle w:val="ab"/>
        </w:rPr>
        <w:endnoteRef/>
      </w:r>
      <w:r w:rsidRPr="00B100FF">
        <w:rPr>
          <w:lang w:val="es-ES"/>
        </w:rPr>
        <w:tab/>
        <w:t xml:space="preserve">CRC/C/SUR/CO/3-4, para. </w:t>
      </w:r>
      <w:r w:rsidRPr="00A55A70">
        <w:rPr>
          <w:lang w:val="en-US"/>
        </w:rPr>
        <w:t xml:space="preserve">17. See also CEDAW/C/SUR/CO/4-6, paras. </w:t>
      </w:r>
      <w:r w:rsidRPr="00B100FF">
        <w:rPr>
          <w:lang w:val="es-ES"/>
        </w:rPr>
        <w:t>32–33 (a).</w:t>
      </w:r>
    </w:p>
  </w:endnote>
  <w:endnote w:id="137">
    <w:p w14:paraId="08439D55" w14:textId="77777777" w:rsidR="00B100FF" w:rsidRPr="00B100FF" w:rsidRDefault="00B100FF" w:rsidP="00B100FF">
      <w:pPr>
        <w:pStyle w:val="af"/>
        <w:rPr>
          <w:lang w:val="es-ES"/>
        </w:rPr>
      </w:pPr>
      <w:r w:rsidRPr="00B100FF">
        <w:rPr>
          <w:lang w:val="es-ES"/>
        </w:rPr>
        <w:tab/>
      </w:r>
      <w:r w:rsidRPr="000B3B0C">
        <w:rPr>
          <w:rStyle w:val="ab"/>
        </w:rPr>
        <w:endnoteRef/>
      </w:r>
      <w:r w:rsidRPr="00B100FF">
        <w:rPr>
          <w:lang w:val="es-ES"/>
        </w:rPr>
        <w:tab/>
        <w:t>CRC/C/SUR/CO/3-4, para. 17. See also CEDAW/C/SUR/CO/4-6, para. 33 (b).</w:t>
      </w:r>
    </w:p>
    <w:p w14:paraId="24F76B6C" w14:textId="77777777" w:rsidR="00B100FF" w:rsidRPr="007A02B5" w:rsidRDefault="00B100FF" w:rsidP="00B100FF">
      <w:pPr>
        <w:pStyle w:val="af"/>
        <w:spacing w:before="240" w:line="240" w:lineRule="atLeast"/>
        <w:ind w:firstLine="0"/>
        <w:jc w:val="center"/>
        <w:rPr>
          <w:u w:val="single"/>
          <w:lang w:val="es-ES"/>
        </w:rPr>
      </w:pPr>
      <w:r w:rsidRPr="007A02B5">
        <w:rPr>
          <w:u w:val="single"/>
          <w:lang w:val="es-ES"/>
        </w:rPr>
        <w:tab/>
      </w:r>
      <w:r w:rsidRPr="007A02B5">
        <w:rPr>
          <w:u w:val="single"/>
          <w:lang w:val="es-ES"/>
        </w:rPr>
        <w:tab/>
      </w:r>
      <w:r w:rsidRPr="007A02B5">
        <w:rPr>
          <w:u w:val="single"/>
          <w:lang w:val="es-ES"/>
        </w:rPr>
        <w:tab/>
      </w:r>
      <w:r w:rsidRPr="007A02B5">
        <w:rPr>
          <w:u w:val="single"/>
          <w:lang w:val="es-E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59CD" w14:textId="4F870526" w:rsidR="00B100FF" w:rsidRPr="00B100FF" w:rsidRDefault="00B100FF">
    <w:pPr>
      <w:pStyle w:val="a8"/>
    </w:pPr>
    <w:r w:rsidRPr="00B100FF">
      <w:rPr>
        <w:b/>
        <w:sz w:val="18"/>
      </w:rPr>
      <w:fldChar w:fldCharType="begin"/>
    </w:r>
    <w:r w:rsidRPr="00B100FF">
      <w:rPr>
        <w:b/>
        <w:sz w:val="18"/>
      </w:rPr>
      <w:instrText xml:space="preserve"> PAGE  \* MERGEFORMAT </w:instrText>
    </w:r>
    <w:r w:rsidRPr="00B100FF">
      <w:rPr>
        <w:b/>
        <w:sz w:val="18"/>
      </w:rPr>
      <w:fldChar w:fldCharType="separate"/>
    </w:r>
    <w:r w:rsidRPr="00B100FF">
      <w:rPr>
        <w:b/>
        <w:noProof/>
        <w:sz w:val="18"/>
      </w:rPr>
      <w:t>2</w:t>
    </w:r>
    <w:r w:rsidRPr="00B100FF">
      <w:rPr>
        <w:b/>
        <w:sz w:val="18"/>
      </w:rPr>
      <w:fldChar w:fldCharType="end"/>
    </w:r>
    <w:r>
      <w:rPr>
        <w:b/>
        <w:sz w:val="18"/>
      </w:rPr>
      <w:tab/>
    </w:r>
    <w:r>
      <w:t>GE.21-11133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D2FF" w14:textId="0788B185" w:rsidR="00B100FF" w:rsidRPr="00B100FF" w:rsidRDefault="00B100FF" w:rsidP="00B100FF">
    <w:pPr>
      <w:pStyle w:val="a8"/>
      <w:tabs>
        <w:tab w:val="clear" w:pos="9639"/>
        <w:tab w:val="right" w:pos="9638"/>
      </w:tabs>
      <w:rPr>
        <w:b/>
        <w:sz w:val="18"/>
      </w:rPr>
    </w:pPr>
    <w:r>
      <w:t>GE.21-11133</w:t>
    </w:r>
    <w:r>
      <w:tab/>
    </w:r>
    <w:r w:rsidRPr="00B100FF">
      <w:rPr>
        <w:b/>
        <w:sz w:val="18"/>
      </w:rPr>
      <w:fldChar w:fldCharType="begin"/>
    </w:r>
    <w:r w:rsidRPr="00B100FF">
      <w:rPr>
        <w:b/>
        <w:sz w:val="18"/>
      </w:rPr>
      <w:instrText xml:space="preserve"> PAGE  \* MERGEFORMAT </w:instrText>
    </w:r>
    <w:r w:rsidRPr="00B100FF">
      <w:rPr>
        <w:b/>
        <w:sz w:val="18"/>
      </w:rPr>
      <w:fldChar w:fldCharType="separate"/>
    </w:r>
    <w:r w:rsidRPr="00B100FF">
      <w:rPr>
        <w:b/>
        <w:noProof/>
        <w:sz w:val="18"/>
      </w:rPr>
      <w:t>3</w:t>
    </w:r>
    <w:r w:rsidRPr="00B100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EFB9" w14:textId="2997205E" w:rsidR="00B100FF" w:rsidRPr="00B100FF" w:rsidRDefault="00B100FF" w:rsidP="00B100FF">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397C731B" wp14:editId="49EB606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21-11133  (R)</w:t>
    </w:r>
    <w:r>
      <w:rPr>
        <w:noProof/>
      </w:rPr>
      <w:drawing>
        <wp:anchor distT="0" distB="0" distL="114300" distR="114300" simplePos="0" relativeHeight="251659264" behindDoc="0" locked="0" layoutInCell="1" allowOverlap="1" wp14:anchorId="7BDB666E" wp14:editId="5C5BCC8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250821  300821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815CE" w14:textId="77777777" w:rsidR="00B100FF" w:rsidRPr="001075E9" w:rsidRDefault="00B100FF" w:rsidP="001075E9">
      <w:pPr>
        <w:tabs>
          <w:tab w:val="right" w:pos="2155"/>
        </w:tabs>
        <w:spacing w:after="80" w:line="240" w:lineRule="auto"/>
        <w:ind w:left="680"/>
        <w:rPr>
          <w:u w:val="single"/>
        </w:rPr>
      </w:pPr>
      <w:r>
        <w:rPr>
          <w:u w:val="single"/>
        </w:rPr>
        <w:tab/>
      </w:r>
    </w:p>
  </w:footnote>
  <w:footnote w:type="continuationSeparator" w:id="0">
    <w:p w14:paraId="173885A1" w14:textId="77777777" w:rsidR="00B100FF" w:rsidRDefault="00B100F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34BE" w14:textId="011A575B" w:rsidR="00B100FF" w:rsidRPr="00B100FF" w:rsidRDefault="009274A5">
    <w:pPr>
      <w:pStyle w:val="a5"/>
    </w:pPr>
    <w:r>
      <w:fldChar w:fldCharType="begin"/>
    </w:r>
    <w:r>
      <w:instrText xml:space="preserve"> TITLE  \* MERGEFORMAT </w:instrText>
    </w:r>
    <w:r>
      <w:fldChar w:fldCharType="separate"/>
    </w:r>
    <w:r>
      <w:t>A/HRC/WG.6/39/SUR/2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A374" w14:textId="1271A833" w:rsidR="00B100FF" w:rsidRPr="00B100FF" w:rsidRDefault="009274A5" w:rsidP="00B100FF">
    <w:pPr>
      <w:pStyle w:val="a5"/>
      <w:jc w:val="right"/>
    </w:pPr>
    <w:r>
      <w:fldChar w:fldCharType="begin"/>
    </w:r>
    <w:r>
      <w:instrText xml:space="preserve"> TITLE  \* MERGEFORMAT </w:instrText>
    </w:r>
    <w:r>
      <w:fldChar w:fldCharType="separate"/>
    </w:r>
    <w:r>
      <w:t>A/HRC/WG.6/39/SUR/2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EB"/>
    <w:rsid w:val="00033EE1"/>
    <w:rsid w:val="00040272"/>
    <w:rsid w:val="00041EA6"/>
    <w:rsid w:val="00042B72"/>
    <w:rsid w:val="000558BD"/>
    <w:rsid w:val="000842B4"/>
    <w:rsid w:val="000B57E7"/>
    <w:rsid w:val="000B6373"/>
    <w:rsid w:val="000F09DF"/>
    <w:rsid w:val="000F61B2"/>
    <w:rsid w:val="001075E9"/>
    <w:rsid w:val="00180183"/>
    <w:rsid w:val="0018024D"/>
    <w:rsid w:val="0018649F"/>
    <w:rsid w:val="00196389"/>
    <w:rsid w:val="001B3EF6"/>
    <w:rsid w:val="001B5F40"/>
    <w:rsid w:val="001C7A89"/>
    <w:rsid w:val="002126EB"/>
    <w:rsid w:val="002501D7"/>
    <w:rsid w:val="00272A35"/>
    <w:rsid w:val="002A2EFC"/>
    <w:rsid w:val="002C0E18"/>
    <w:rsid w:val="002C4EEE"/>
    <w:rsid w:val="002D5AAC"/>
    <w:rsid w:val="002E5067"/>
    <w:rsid w:val="002F405F"/>
    <w:rsid w:val="002F7EEC"/>
    <w:rsid w:val="00301299"/>
    <w:rsid w:val="00305C08"/>
    <w:rsid w:val="00307FB6"/>
    <w:rsid w:val="00312B45"/>
    <w:rsid w:val="00317339"/>
    <w:rsid w:val="00322004"/>
    <w:rsid w:val="003334ED"/>
    <w:rsid w:val="003402C2"/>
    <w:rsid w:val="003551CA"/>
    <w:rsid w:val="00360755"/>
    <w:rsid w:val="00381C24"/>
    <w:rsid w:val="003958D0"/>
    <w:rsid w:val="003B00E5"/>
    <w:rsid w:val="003B3FBC"/>
    <w:rsid w:val="00407B78"/>
    <w:rsid w:val="00424203"/>
    <w:rsid w:val="00452493"/>
    <w:rsid w:val="00454E07"/>
    <w:rsid w:val="00472C5C"/>
    <w:rsid w:val="00483409"/>
    <w:rsid w:val="00484B62"/>
    <w:rsid w:val="0050108D"/>
    <w:rsid w:val="00513081"/>
    <w:rsid w:val="00517901"/>
    <w:rsid w:val="00526683"/>
    <w:rsid w:val="00541726"/>
    <w:rsid w:val="005709E0"/>
    <w:rsid w:val="00572E19"/>
    <w:rsid w:val="005961C8"/>
    <w:rsid w:val="005C6181"/>
    <w:rsid w:val="005D7914"/>
    <w:rsid w:val="005E2B41"/>
    <w:rsid w:val="005F0B42"/>
    <w:rsid w:val="005F70A5"/>
    <w:rsid w:val="00681A10"/>
    <w:rsid w:val="006A1ED8"/>
    <w:rsid w:val="006C2031"/>
    <w:rsid w:val="006C6883"/>
    <w:rsid w:val="006D461A"/>
    <w:rsid w:val="006F0B59"/>
    <w:rsid w:val="006F35EE"/>
    <w:rsid w:val="007021FF"/>
    <w:rsid w:val="00707123"/>
    <w:rsid w:val="00712895"/>
    <w:rsid w:val="00757357"/>
    <w:rsid w:val="00782C09"/>
    <w:rsid w:val="007D3BD5"/>
    <w:rsid w:val="007D5A02"/>
    <w:rsid w:val="00825F8D"/>
    <w:rsid w:val="00834B71"/>
    <w:rsid w:val="0086445C"/>
    <w:rsid w:val="00865660"/>
    <w:rsid w:val="00894693"/>
    <w:rsid w:val="008A08D7"/>
    <w:rsid w:val="008B6909"/>
    <w:rsid w:val="008D261C"/>
    <w:rsid w:val="008D36D8"/>
    <w:rsid w:val="00906890"/>
    <w:rsid w:val="00911BE4"/>
    <w:rsid w:val="009274A5"/>
    <w:rsid w:val="009275CF"/>
    <w:rsid w:val="00936A21"/>
    <w:rsid w:val="00951972"/>
    <w:rsid w:val="009604DF"/>
    <w:rsid w:val="009608F3"/>
    <w:rsid w:val="00965175"/>
    <w:rsid w:val="009675B6"/>
    <w:rsid w:val="009A24AC"/>
    <w:rsid w:val="00A01942"/>
    <w:rsid w:val="00A10122"/>
    <w:rsid w:val="00A312BC"/>
    <w:rsid w:val="00A84021"/>
    <w:rsid w:val="00A84D35"/>
    <w:rsid w:val="00A917B3"/>
    <w:rsid w:val="00AB4B51"/>
    <w:rsid w:val="00B100FF"/>
    <w:rsid w:val="00B10CC7"/>
    <w:rsid w:val="00B25BD7"/>
    <w:rsid w:val="00B539E7"/>
    <w:rsid w:val="00B62458"/>
    <w:rsid w:val="00BC18B2"/>
    <w:rsid w:val="00BD33EE"/>
    <w:rsid w:val="00BE0674"/>
    <w:rsid w:val="00C106D6"/>
    <w:rsid w:val="00C214EB"/>
    <w:rsid w:val="00C60F0C"/>
    <w:rsid w:val="00C805C9"/>
    <w:rsid w:val="00C92939"/>
    <w:rsid w:val="00CA1679"/>
    <w:rsid w:val="00CB0692"/>
    <w:rsid w:val="00CB151C"/>
    <w:rsid w:val="00CE5A1A"/>
    <w:rsid w:val="00CF55F6"/>
    <w:rsid w:val="00D33D63"/>
    <w:rsid w:val="00D82ACA"/>
    <w:rsid w:val="00D90028"/>
    <w:rsid w:val="00D90138"/>
    <w:rsid w:val="00DC2121"/>
    <w:rsid w:val="00DD78D1"/>
    <w:rsid w:val="00DF71B9"/>
    <w:rsid w:val="00E36959"/>
    <w:rsid w:val="00E53D7E"/>
    <w:rsid w:val="00E71476"/>
    <w:rsid w:val="00E73F76"/>
    <w:rsid w:val="00EA2AAD"/>
    <w:rsid w:val="00EA2C9F"/>
    <w:rsid w:val="00EA420E"/>
    <w:rsid w:val="00EC27E8"/>
    <w:rsid w:val="00EC3F0F"/>
    <w:rsid w:val="00ED0BDA"/>
    <w:rsid w:val="00EF1360"/>
    <w:rsid w:val="00EF3220"/>
    <w:rsid w:val="00EF676C"/>
    <w:rsid w:val="00F15FF3"/>
    <w:rsid w:val="00F43903"/>
    <w:rsid w:val="00F525BC"/>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ECB06"/>
  <w15:docId w15:val="{E9B5F3E7-5F1D-41C4-897C-27573303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27E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604DF"/>
    <w:pPr>
      <w:keepNext/>
      <w:outlineLvl w:val="1"/>
    </w:pPr>
    <w:rPr>
      <w:rFonts w:cs="Arial"/>
      <w:bCs/>
      <w:iCs/>
      <w:szCs w:val="28"/>
    </w:rPr>
  </w:style>
  <w:style w:type="paragraph" w:styleId="3">
    <w:name w:val="heading 3"/>
    <w:basedOn w:val="a"/>
    <w:next w:val="a"/>
    <w:semiHidden/>
    <w:rsid w:val="009604DF"/>
    <w:pPr>
      <w:keepNext/>
      <w:spacing w:before="240" w:after="60"/>
      <w:outlineLvl w:val="2"/>
    </w:pPr>
    <w:rPr>
      <w:rFonts w:ascii="Arial" w:hAnsi="Arial" w:cs="Arial"/>
      <w:b/>
      <w:bCs/>
      <w:sz w:val="26"/>
      <w:szCs w:val="26"/>
    </w:rPr>
  </w:style>
  <w:style w:type="paragraph" w:styleId="4">
    <w:name w:val="heading 4"/>
    <w:basedOn w:val="a"/>
    <w:next w:val="a"/>
    <w:semiHidden/>
    <w:rsid w:val="009604DF"/>
    <w:pPr>
      <w:keepNext/>
      <w:spacing w:before="240" w:after="60"/>
      <w:outlineLvl w:val="3"/>
    </w:pPr>
    <w:rPr>
      <w:b/>
      <w:bCs/>
      <w:sz w:val="28"/>
      <w:szCs w:val="28"/>
    </w:rPr>
  </w:style>
  <w:style w:type="paragraph" w:styleId="5">
    <w:name w:val="heading 5"/>
    <w:basedOn w:val="a"/>
    <w:next w:val="a"/>
    <w:semiHidden/>
    <w:rsid w:val="009604DF"/>
    <w:pPr>
      <w:spacing w:before="240" w:after="60"/>
      <w:outlineLvl w:val="4"/>
    </w:pPr>
    <w:rPr>
      <w:b/>
      <w:bCs/>
      <w:i/>
      <w:iCs/>
      <w:sz w:val="26"/>
      <w:szCs w:val="26"/>
    </w:rPr>
  </w:style>
  <w:style w:type="paragraph" w:styleId="6">
    <w:name w:val="heading 6"/>
    <w:basedOn w:val="a"/>
    <w:next w:val="a"/>
    <w:semiHidden/>
    <w:rsid w:val="009604DF"/>
    <w:pPr>
      <w:spacing w:before="240" w:after="60"/>
      <w:outlineLvl w:val="5"/>
    </w:pPr>
    <w:rPr>
      <w:b/>
      <w:bCs/>
      <w:sz w:val="22"/>
    </w:rPr>
  </w:style>
  <w:style w:type="paragraph" w:styleId="7">
    <w:name w:val="heading 7"/>
    <w:basedOn w:val="a"/>
    <w:next w:val="a"/>
    <w:semiHidden/>
    <w:rsid w:val="009604DF"/>
    <w:pPr>
      <w:spacing w:before="240" w:after="60"/>
      <w:outlineLvl w:val="6"/>
    </w:pPr>
    <w:rPr>
      <w:sz w:val="24"/>
      <w:szCs w:val="24"/>
    </w:rPr>
  </w:style>
  <w:style w:type="paragraph" w:styleId="8">
    <w:name w:val="heading 8"/>
    <w:basedOn w:val="a"/>
    <w:next w:val="a"/>
    <w:semiHidden/>
    <w:rsid w:val="009604DF"/>
    <w:pPr>
      <w:spacing w:before="240" w:after="60"/>
      <w:outlineLvl w:val="7"/>
    </w:pPr>
    <w:rPr>
      <w:i/>
      <w:iCs/>
      <w:sz w:val="24"/>
      <w:szCs w:val="24"/>
    </w:rPr>
  </w:style>
  <w:style w:type="paragraph" w:styleId="9">
    <w:name w:val="heading 9"/>
    <w:basedOn w:val="a"/>
    <w:next w:val="a"/>
    <w:semiHidden/>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604DF"/>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DC2121"/>
    <w:rPr>
      <w:rFonts w:ascii="Tahoma" w:eastAsiaTheme="minorHAnsi" w:hAnsi="Tahoma" w:cs="Tahoma"/>
      <w:sz w:val="16"/>
      <w:szCs w:val="16"/>
      <w:lang w:val="ru-RU" w:eastAsia="en-US"/>
    </w:rPr>
  </w:style>
  <w:style w:type="paragraph" w:customStyle="1" w:styleId="HMG">
    <w:name w:val="_ H __M_G"/>
    <w:basedOn w:val="a"/>
    <w:next w:val="a"/>
    <w:qFormat/>
    <w:rsid w:val="00BE0674"/>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BE0674"/>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BE0674"/>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E0674"/>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E0674"/>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DC212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E0674"/>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E0674"/>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DC212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E0674"/>
    <w:rPr>
      <w:b/>
      <w:sz w:val="18"/>
      <w:lang w:val="en-GB" w:eastAsia="ru-RU"/>
    </w:rPr>
  </w:style>
  <w:style w:type="character" w:styleId="a7">
    <w:name w:val="page number"/>
    <w:aliases w:val="7_G"/>
    <w:basedOn w:val="a0"/>
    <w:qFormat/>
    <w:rsid w:val="00BE0674"/>
    <w:rPr>
      <w:rFonts w:ascii="Times New Roman" w:hAnsi="Times New Roman"/>
      <w:b/>
      <w:sz w:val="18"/>
    </w:rPr>
  </w:style>
  <w:style w:type="paragraph" w:styleId="a8">
    <w:name w:val="footer"/>
    <w:aliases w:val="3_G"/>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E0674"/>
    <w:rPr>
      <w:sz w:val="16"/>
      <w:lang w:val="en-GB" w:eastAsia="ru-RU"/>
    </w:rPr>
  </w:style>
  <w:style w:type="character" w:styleId="aa">
    <w:name w:val="footnote reference"/>
    <w:aliases w:val="4_G"/>
    <w:basedOn w:val="a0"/>
    <w:qFormat/>
    <w:rsid w:val="00BE0674"/>
    <w:rPr>
      <w:rFonts w:ascii="Times New Roman" w:hAnsi="Times New Roman"/>
      <w:dstrike w:val="0"/>
      <w:sz w:val="18"/>
      <w:vertAlign w:val="superscript"/>
    </w:rPr>
  </w:style>
  <w:style w:type="character" w:styleId="ab">
    <w:name w:val="endnote reference"/>
    <w:aliases w:val="1_G"/>
    <w:basedOn w:val="aa"/>
    <w:qFormat/>
    <w:rsid w:val="00BE0674"/>
    <w:rPr>
      <w:rFonts w:ascii="Times New Roman" w:hAnsi="Times New Roman"/>
      <w:dstrike w:val="0"/>
      <w:sz w:val="18"/>
      <w:vertAlign w:val="superscript"/>
    </w:rPr>
  </w:style>
  <w:style w:type="table" w:styleId="ac">
    <w:name w:val="Table Grid"/>
    <w:basedOn w:val="a1"/>
    <w:uiPriority w:val="59"/>
    <w:rsid w:val="00EC27E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E0674"/>
    <w:rPr>
      <w:sz w:val="18"/>
      <w:lang w:val="ru-RU" w:eastAsia="ru-RU"/>
    </w:rPr>
  </w:style>
  <w:style w:type="paragraph" w:styleId="af">
    <w:name w:val="endnote text"/>
    <w:aliases w:val="2_G"/>
    <w:basedOn w:val="ad"/>
    <w:link w:val="af0"/>
    <w:qFormat/>
    <w:rsid w:val="00BE0674"/>
  </w:style>
  <w:style w:type="character" w:customStyle="1" w:styleId="af0">
    <w:name w:val="Текст концевой сноски Знак"/>
    <w:aliases w:val="2_G Знак"/>
    <w:basedOn w:val="a0"/>
    <w:link w:val="af"/>
    <w:rsid w:val="00BE0674"/>
    <w:rPr>
      <w:sz w:val="18"/>
      <w:lang w:val="ru-RU" w:eastAsia="ru-RU"/>
    </w:rPr>
  </w:style>
  <w:style w:type="character" w:customStyle="1" w:styleId="10">
    <w:name w:val="Заголовок 1 Знак"/>
    <w:aliases w:val="Table_G Знак"/>
    <w:basedOn w:val="a0"/>
    <w:link w:val="1"/>
    <w:rsid w:val="00BE0674"/>
    <w:rPr>
      <w:rFonts w:cs="Arial"/>
      <w:b/>
      <w:bCs/>
      <w:szCs w:val="32"/>
      <w:lang w:val="ru-RU" w:eastAsia="ru-RU"/>
    </w:rPr>
  </w:style>
  <w:style w:type="character" w:styleId="af1">
    <w:name w:val="Hyperlink"/>
    <w:basedOn w:val="a0"/>
    <w:rsid w:val="00BE0674"/>
    <w:rPr>
      <w:color w:val="0000FF" w:themeColor="hyperlink"/>
      <w:u w:val="none"/>
    </w:rPr>
  </w:style>
  <w:style w:type="character" w:styleId="af2">
    <w:name w:val="FollowedHyperlink"/>
    <w:basedOn w:val="a0"/>
    <w:rsid w:val="00BE0674"/>
    <w:rPr>
      <w:color w:val="800080" w:themeColor="followedHyperlink"/>
      <w:u w:val="none"/>
    </w:rPr>
  </w:style>
  <w:style w:type="character" w:styleId="af3">
    <w:name w:val="Unresolved Mention"/>
    <w:basedOn w:val="a0"/>
    <w:uiPriority w:val="99"/>
    <w:semiHidden/>
    <w:unhideWhenUsed/>
    <w:rsid w:val="008D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ilo.org/dyn/normlex/en/f?p=1000:13100:0::NO:13100:P13100_COMMENT_ID:3289947:NO" TargetMode="External"/><Relationship Id="rId2" Type="http://schemas.openxmlformats.org/officeDocument/2006/relationships/hyperlink" Target="http://www.ilo.org/dyn/normlex/en/f?p=1000:13100:0::NO:13100:P13100_COMMENT_ID:3295134:NO" TargetMode="External"/><Relationship Id="rId1" Type="http://schemas.openxmlformats.org/officeDocument/2006/relationships/hyperlink" Target="http://www.ohchr.org/EN/HRBodies/UPR/Pages/SRindex.aspx" TargetMode="External"/><Relationship Id="rId5" Type="http://schemas.openxmlformats.org/officeDocument/2006/relationships/hyperlink" Target="http://www.ilo.org/dyn/normlex/en/f?p=1000:13100:0::NO:13100:P13100_COMMENT_ID:3962786:NO" TargetMode="External"/><Relationship Id="rId4" Type="http://schemas.openxmlformats.org/officeDocument/2006/relationships/hyperlink" Target="http://www.ilo.org/dyn/normlex/en/f?p=1000:13100:0::NO:13100:P13100_COMMENT_ID:3956501:NO"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8</TotalTime>
  <Pages>16</Pages>
  <Words>5454</Words>
  <Characters>37465</Characters>
  <Application>Microsoft Office Word</Application>
  <DocSecurity>0</DocSecurity>
  <Lines>4162</Lines>
  <Paragraphs>1788</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A/HRC/WG.6/39/SUR/2</vt:lpstr>
      <vt:lpstr>A/</vt:lpstr>
      <vt:lpstr>A/</vt:lpstr>
      <vt:lpstr>A/</vt:lpstr>
    </vt:vector>
  </TitlesOfParts>
  <Company>DCM</Company>
  <LinksUpToDate>false</LinksUpToDate>
  <CharactersWithSpaces>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A/HRC/WG.6/39/SUR/2</dc:title>
  <dc:subject/>
  <dc:creator>Elena IZOTOVA</dc:creator>
  <cp:keywords/>
  <cp:lastModifiedBy>Elena IZOTOVA</cp:lastModifiedBy>
  <cp:revision>3</cp:revision>
  <cp:lastPrinted>2021-08-30T14:57:00Z</cp:lastPrinted>
  <dcterms:created xsi:type="dcterms:W3CDTF">2021-08-30T14:57:00Z</dcterms:created>
  <dcterms:modified xsi:type="dcterms:W3CDTF">2021-08-30T14:57:00Z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